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8287" w:type="dxa"/>
        <w:tblInd w:w="-431" w:type="dxa"/>
        <w:tblLayout w:type="fixed"/>
        <w:tblLook w:val="01E0" w:firstRow="1" w:lastRow="1" w:firstColumn="1" w:lastColumn="1" w:noHBand="0" w:noVBand="0"/>
      </w:tblPr>
      <w:tblGrid>
        <w:gridCol w:w="1277"/>
        <w:gridCol w:w="3969"/>
        <w:gridCol w:w="5245"/>
        <w:gridCol w:w="7796"/>
      </w:tblGrid>
      <w:tr w:rsidR="00576017" w:rsidRPr="003F383B" w14:paraId="6380C395" w14:textId="77777777" w:rsidTr="006C167F">
        <w:trPr>
          <w:trHeight w:val="720"/>
        </w:trPr>
        <w:tc>
          <w:tcPr>
            <w:tcW w:w="1277" w:type="dxa"/>
          </w:tcPr>
          <w:p w14:paraId="79B00478" w14:textId="77777777" w:rsidR="00576017" w:rsidRPr="003F383B" w:rsidRDefault="00576017" w:rsidP="00E640A1">
            <w:pPr>
              <w:contextualSpacing/>
              <w:jc w:val="both"/>
              <w:rPr>
                <w:rFonts w:ascii="Bookman Old Style" w:hAnsi="Bookman Old Style"/>
                <w:color w:val="000000" w:themeColor="text1"/>
                <w:w w:val="11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F383B">
              <w:rPr>
                <w:rFonts w:ascii="Bookman Old Style" w:hAnsi="Bookman Old Style"/>
                <w:color w:val="000000" w:themeColor="text1"/>
                <w:w w:val="11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Clause and </w:t>
            </w:r>
          </w:p>
          <w:p w14:paraId="70A86395" w14:textId="77777777" w:rsidR="00576017" w:rsidRPr="003F383B" w:rsidRDefault="00576017" w:rsidP="00E640A1">
            <w:pPr>
              <w:contextualSpacing/>
              <w:jc w:val="both"/>
              <w:rPr>
                <w:rFonts w:ascii="Bookman Old Style" w:hAnsi="Bookman Old Style"/>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F383B">
              <w:rPr>
                <w:rFonts w:ascii="Bookman Old Style" w:hAnsi="Bookman Old Style"/>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sub-clause</w:t>
            </w:r>
          </w:p>
        </w:tc>
        <w:tc>
          <w:tcPr>
            <w:tcW w:w="3969" w:type="dxa"/>
          </w:tcPr>
          <w:p w14:paraId="07013767" w14:textId="77777777" w:rsidR="00576017" w:rsidRPr="003F383B" w:rsidRDefault="00576017" w:rsidP="00E640A1">
            <w:pPr>
              <w:contextualSpacing/>
              <w:jc w:val="both"/>
              <w:rPr>
                <w:rFonts w:ascii="Bookman Old Style" w:hAnsi="Bookman Old Style"/>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F383B">
              <w:rPr>
                <w:rFonts w:ascii="Bookman Old Style" w:hAnsi="Bookman Old Style"/>
                <w:color w:val="000000" w:themeColor="text1"/>
                <w:w w:val="115"/>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CERC </w:t>
            </w:r>
            <w:r w:rsidRPr="003F383B">
              <w:rPr>
                <w:rFonts w:ascii="Bookman Old Style" w:hAnsi="Bookman Old Style"/>
                <w:color w:val="000000" w:themeColor="text1"/>
                <w:w w:val="11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(Terms &amp; Conditions of</w:t>
            </w:r>
          </w:p>
          <w:p w14:paraId="54B73007" w14:textId="77777777" w:rsidR="00576017" w:rsidRPr="003F383B" w:rsidRDefault="00576017" w:rsidP="00E640A1">
            <w:pPr>
              <w:contextualSpacing/>
              <w:jc w:val="both"/>
              <w:rPr>
                <w:rFonts w:ascii="Bookman Old Style" w:hAnsi="Bookman Old Style"/>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F383B">
              <w:rPr>
                <w:rFonts w:ascii="Bookman Old Style" w:hAnsi="Bookman Old Style"/>
                <w:color w:val="000000" w:themeColor="text1"/>
                <w:w w:val="11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Tariff) Regulations,2019</w:t>
            </w:r>
          </w:p>
        </w:tc>
        <w:tc>
          <w:tcPr>
            <w:tcW w:w="5245" w:type="dxa"/>
          </w:tcPr>
          <w:p w14:paraId="12BA4C92" w14:textId="77777777" w:rsidR="00576017" w:rsidRPr="003F383B" w:rsidRDefault="00576017" w:rsidP="00E640A1">
            <w:pPr>
              <w:contextualSpacing/>
              <w:jc w:val="both"/>
              <w:rPr>
                <w:rFonts w:ascii="Bookman Old Style" w:hAnsi="Bookman Old Style"/>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F383B">
              <w:rPr>
                <w:rFonts w:ascii="Bookman Old Style" w:hAnsi="Bookman Old Style"/>
                <w:color w:val="000000" w:themeColor="text1"/>
                <w:w w:val="115"/>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Draft CERC </w:t>
            </w:r>
            <w:r w:rsidRPr="003F383B">
              <w:rPr>
                <w:rFonts w:ascii="Bookman Old Style" w:hAnsi="Bookman Old Style"/>
                <w:color w:val="000000" w:themeColor="text1"/>
                <w:w w:val="11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(Terms &amp; Conditions of</w:t>
            </w:r>
          </w:p>
          <w:p w14:paraId="10183038" w14:textId="77777777" w:rsidR="00576017" w:rsidRPr="003F383B" w:rsidRDefault="00576017" w:rsidP="00E640A1">
            <w:pPr>
              <w:contextualSpacing/>
              <w:jc w:val="both"/>
              <w:rPr>
                <w:rFonts w:ascii="Bookman Old Style" w:hAnsi="Bookman Old Style"/>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F383B">
              <w:rPr>
                <w:rFonts w:ascii="Bookman Old Style" w:hAnsi="Bookman Old Style"/>
                <w:color w:val="000000" w:themeColor="text1"/>
                <w:w w:val="11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Tariff) Regulation2024</w:t>
            </w:r>
          </w:p>
        </w:tc>
        <w:tc>
          <w:tcPr>
            <w:tcW w:w="7796" w:type="dxa"/>
          </w:tcPr>
          <w:p w14:paraId="0AFE8A25" w14:textId="77777777" w:rsidR="00576017" w:rsidRPr="003F383B" w:rsidRDefault="00576017" w:rsidP="00E640A1">
            <w:pPr>
              <w:contextualSpacing/>
              <w:jc w:val="both"/>
              <w:rPr>
                <w:rFonts w:ascii="Bookman Old Style" w:hAnsi="Bookman Old Style"/>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F383B">
              <w:rPr>
                <w:rFonts w:ascii="Bookman Old Style" w:hAnsi="Bookman Old Style"/>
                <w:color w:val="000000" w:themeColor="text1"/>
                <w:w w:val="11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HPPC comments </w:t>
            </w:r>
          </w:p>
        </w:tc>
      </w:tr>
      <w:tr w:rsidR="00D3122F" w:rsidRPr="003F383B" w14:paraId="3D5A5D42" w14:textId="77777777" w:rsidTr="00171542">
        <w:trPr>
          <w:trHeight w:val="346"/>
        </w:trPr>
        <w:tc>
          <w:tcPr>
            <w:tcW w:w="18287" w:type="dxa"/>
            <w:gridSpan w:val="4"/>
          </w:tcPr>
          <w:p w14:paraId="472DA687" w14:textId="3EA01257" w:rsidR="00D3122F" w:rsidRPr="00171542" w:rsidRDefault="00171542" w:rsidP="00D3122F">
            <w:pPr>
              <w:contextualSpacing/>
              <w:jc w:val="center"/>
              <w:rPr>
                <w:rFonts w:ascii="Bookman Old Style" w:hAnsi="Bookman Old Style"/>
                <w:b/>
                <w:bCs/>
                <w:w w:val="110"/>
                <w:sz w:val="20"/>
                <w:szCs w:val="20"/>
              </w:rPr>
            </w:pPr>
            <w:r w:rsidRPr="00171542">
              <w:rPr>
                <w:rFonts w:ascii="Bookman Old Style" w:hAnsi="Bookman Old Style"/>
                <w:b/>
                <w:bCs/>
                <w:w w:val="110"/>
                <w:sz w:val="20"/>
                <w:szCs w:val="20"/>
              </w:rPr>
              <w:t>CHAPTER 3 – PROCEDURE FOR TARIFF DETERMINATION</w:t>
            </w:r>
          </w:p>
        </w:tc>
      </w:tr>
      <w:tr w:rsidR="00576017" w:rsidRPr="003F383B" w14:paraId="2E96346C" w14:textId="77777777" w:rsidTr="006C167F">
        <w:trPr>
          <w:trHeight w:val="266"/>
        </w:trPr>
        <w:tc>
          <w:tcPr>
            <w:tcW w:w="1277" w:type="dxa"/>
          </w:tcPr>
          <w:p w14:paraId="7BE2DCE6" w14:textId="5FCF4FC0" w:rsidR="00576017" w:rsidRPr="003F383B" w:rsidRDefault="005E6838" w:rsidP="00E640A1">
            <w:pPr>
              <w:contextualSpacing/>
              <w:jc w:val="both"/>
              <w:rPr>
                <w:rFonts w:ascii="Bookman Old Style" w:hAnsi="Bookman Old Style"/>
                <w:sz w:val="20"/>
                <w:szCs w:val="20"/>
              </w:rPr>
            </w:pPr>
            <w:r>
              <w:rPr>
                <w:rFonts w:ascii="Bookman Old Style" w:hAnsi="Bookman Old Style"/>
                <w:sz w:val="20"/>
                <w:szCs w:val="20"/>
              </w:rPr>
              <w:t xml:space="preserve">                                                                                                             </w:t>
            </w:r>
          </w:p>
        </w:tc>
        <w:tc>
          <w:tcPr>
            <w:tcW w:w="3969" w:type="dxa"/>
          </w:tcPr>
          <w:p w14:paraId="36165148" w14:textId="37979A7F" w:rsidR="00576017" w:rsidRPr="003F383B" w:rsidRDefault="00576017" w:rsidP="00E640A1">
            <w:pPr>
              <w:contextualSpacing/>
              <w:jc w:val="both"/>
              <w:rPr>
                <w:rFonts w:ascii="Bookman Old Style" w:hAnsi="Bookman Old Style"/>
                <w:sz w:val="20"/>
                <w:szCs w:val="20"/>
              </w:rPr>
            </w:pPr>
            <w:r w:rsidRPr="003F383B">
              <w:rPr>
                <w:rFonts w:ascii="Bookman Old Style" w:hAnsi="Bookman Old Style"/>
                <w:b/>
                <w:bCs/>
                <w:w w:val="110"/>
                <w:sz w:val="20"/>
                <w:szCs w:val="20"/>
              </w:rPr>
              <w:t>Determination of Tariff</w:t>
            </w:r>
          </w:p>
        </w:tc>
        <w:tc>
          <w:tcPr>
            <w:tcW w:w="5245" w:type="dxa"/>
          </w:tcPr>
          <w:p w14:paraId="54E35DE3" w14:textId="175EE778" w:rsidR="00576017" w:rsidRPr="003F383B" w:rsidRDefault="00576017" w:rsidP="00E640A1">
            <w:pPr>
              <w:contextualSpacing/>
              <w:jc w:val="both"/>
              <w:rPr>
                <w:rFonts w:ascii="Bookman Old Style" w:hAnsi="Bookman Old Style"/>
                <w:w w:val="115"/>
                <w:sz w:val="20"/>
                <w:szCs w:val="20"/>
              </w:rPr>
            </w:pPr>
          </w:p>
        </w:tc>
        <w:tc>
          <w:tcPr>
            <w:tcW w:w="7796" w:type="dxa"/>
          </w:tcPr>
          <w:p w14:paraId="3195C14E" w14:textId="52516364" w:rsidR="00576017" w:rsidRPr="003F383B" w:rsidRDefault="00576017" w:rsidP="00E640A1">
            <w:pPr>
              <w:contextualSpacing/>
              <w:jc w:val="both"/>
              <w:rPr>
                <w:rFonts w:ascii="Bookman Old Style" w:hAnsi="Bookman Old Style"/>
                <w:spacing w:val="-2"/>
                <w:w w:val="110"/>
                <w:sz w:val="20"/>
                <w:szCs w:val="20"/>
              </w:rPr>
            </w:pPr>
          </w:p>
        </w:tc>
      </w:tr>
      <w:tr w:rsidR="00576017" w:rsidRPr="003F383B" w14:paraId="1F1FEBF2" w14:textId="77777777" w:rsidTr="006C167F">
        <w:trPr>
          <w:trHeight w:val="559"/>
        </w:trPr>
        <w:tc>
          <w:tcPr>
            <w:tcW w:w="1277" w:type="dxa"/>
          </w:tcPr>
          <w:p w14:paraId="045C4854" w14:textId="77777777" w:rsidR="00576017" w:rsidRPr="003F383B" w:rsidRDefault="00576017" w:rsidP="00E640A1">
            <w:pPr>
              <w:contextualSpacing/>
              <w:jc w:val="both"/>
              <w:rPr>
                <w:rFonts w:ascii="Bookman Old Style" w:hAnsi="Bookman Old Style"/>
                <w:sz w:val="20"/>
                <w:szCs w:val="20"/>
              </w:rPr>
            </w:pPr>
            <w:r w:rsidRPr="003F383B">
              <w:rPr>
                <w:rFonts w:ascii="Bookman Old Style" w:hAnsi="Bookman Old Style" w:cs="Arial"/>
                <w:sz w:val="20"/>
                <w:szCs w:val="20"/>
                <w:lang w:eastAsia="en-IN"/>
              </w:rPr>
              <w:t>(7)</w:t>
            </w:r>
          </w:p>
        </w:tc>
        <w:tc>
          <w:tcPr>
            <w:tcW w:w="3969" w:type="dxa"/>
          </w:tcPr>
          <w:p w14:paraId="4F42CF92" w14:textId="77777777" w:rsidR="003F383B" w:rsidRPr="003F383B" w:rsidRDefault="003F383B" w:rsidP="00E640A1">
            <w:pPr>
              <w:adjustRightInd w:val="0"/>
              <w:jc w:val="both"/>
              <w:rPr>
                <w:rFonts w:ascii="Bookman Old Style" w:eastAsia="CIDFont+F2" w:hAnsi="Bookman Old Style" w:cs="CIDFont+F2"/>
                <w:sz w:val="20"/>
                <w:szCs w:val="20"/>
                <w:lang w:bidi="hi-IN"/>
              </w:rPr>
            </w:pPr>
          </w:p>
          <w:p w14:paraId="1C0ED52A" w14:textId="77777777" w:rsidR="003F383B" w:rsidRPr="003F383B" w:rsidRDefault="003F383B" w:rsidP="00E640A1">
            <w:pPr>
              <w:adjustRightInd w:val="0"/>
              <w:jc w:val="both"/>
              <w:rPr>
                <w:rFonts w:ascii="Bookman Old Style" w:eastAsia="CIDFont+F2" w:hAnsi="Bookman Old Style" w:cs="CIDFont+F2"/>
                <w:sz w:val="20"/>
                <w:szCs w:val="20"/>
                <w:lang w:bidi="hi-IN"/>
              </w:rPr>
            </w:pPr>
          </w:p>
          <w:p w14:paraId="6B68C882" w14:textId="32789282" w:rsidR="00576017" w:rsidRPr="003F383B" w:rsidRDefault="00576017" w:rsidP="003F383B">
            <w:pPr>
              <w:adjustRightInd w:val="0"/>
              <w:jc w:val="both"/>
              <w:rPr>
                <w:rFonts w:ascii="Bookman Old Style" w:hAnsi="Bookman Old Style"/>
                <w:sz w:val="20"/>
                <w:szCs w:val="20"/>
              </w:rPr>
            </w:pPr>
            <w:r w:rsidRPr="003F383B">
              <w:rPr>
                <w:rFonts w:ascii="Bookman Old Style" w:eastAsia="CIDFont+F2" w:hAnsi="Bookman Old Style" w:cs="CIDFont+F2"/>
                <w:sz w:val="20"/>
                <w:szCs w:val="20"/>
                <w:lang w:bidi="hi-IN"/>
              </w:rPr>
              <w:t>The difference between the tariff determined in accordance with clauses (3) and (5)</w:t>
            </w:r>
            <w:r w:rsidR="003F383B" w:rsidRPr="003F383B">
              <w:rPr>
                <w:rFonts w:ascii="Bookman Old Style" w:eastAsia="CIDFont+F2" w:hAnsi="Bookman Old Style" w:cs="CIDFont+F2"/>
                <w:sz w:val="20"/>
                <w:szCs w:val="20"/>
                <w:lang w:bidi="hi-IN"/>
              </w:rPr>
              <w:t xml:space="preserve"> </w:t>
            </w:r>
            <w:r w:rsidRPr="003F383B">
              <w:rPr>
                <w:rFonts w:ascii="Bookman Old Style" w:eastAsia="CIDFont+F2" w:hAnsi="Bookman Old Style" w:cs="CIDFont+F2"/>
                <w:sz w:val="20"/>
                <w:szCs w:val="20"/>
                <w:lang w:bidi="hi-IN"/>
              </w:rPr>
              <w:t>above and clauses (4) and (5) above, shall be recovered from or refunded to, the</w:t>
            </w:r>
            <w:r w:rsidR="003F383B" w:rsidRPr="003F383B">
              <w:rPr>
                <w:rFonts w:ascii="Bookman Old Style" w:eastAsia="CIDFont+F2" w:hAnsi="Bookman Old Style" w:cs="CIDFont+F2"/>
                <w:sz w:val="20"/>
                <w:szCs w:val="20"/>
                <w:lang w:bidi="hi-IN"/>
              </w:rPr>
              <w:t xml:space="preserve"> </w:t>
            </w:r>
            <w:r w:rsidRPr="003F383B">
              <w:rPr>
                <w:rFonts w:ascii="Bookman Old Style" w:eastAsia="CIDFont+F2" w:hAnsi="Bookman Old Style" w:cs="CIDFont+F2"/>
                <w:sz w:val="20"/>
                <w:szCs w:val="20"/>
                <w:lang w:bidi="hi-IN"/>
              </w:rPr>
              <w:t xml:space="preserve">beneficiaries or the </w:t>
            </w:r>
            <w:proofErr w:type="gramStart"/>
            <w:r w:rsidRPr="003F383B">
              <w:rPr>
                <w:rFonts w:ascii="Bookman Old Style" w:eastAsia="CIDFont+F2" w:hAnsi="Bookman Old Style" w:cs="CIDFont+F2"/>
                <w:sz w:val="20"/>
                <w:szCs w:val="20"/>
                <w:lang w:bidi="hi-IN"/>
              </w:rPr>
              <w:t>long term</w:t>
            </w:r>
            <w:proofErr w:type="gramEnd"/>
            <w:r w:rsidRPr="003F383B">
              <w:rPr>
                <w:rFonts w:ascii="Bookman Old Style" w:eastAsia="CIDFont+F2" w:hAnsi="Bookman Old Style" w:cs="CIDFont+F2"/>
                <w:sz w:val="20"/>
                <w:szCs w:val="20"/>
                <w:lang w:bidi="hi-IN"/>
              </w:rPr>
              <w:t xml:space="preserve"> customers, as the case may be, with simple interest at the rate equal to the </w:t>
            </w:r>
            <w:r w:rsidRPr="003F383B">
              <w:rPr>
                <w:rFonts w:ascii="Bookman Old Style" w:eastAsia="CIDFont+F2" w:hAnsi="Bookman Old Style" w:cs="CIDFont+F2"/>
                <w:b/>
                <w:bCs/>
                <w:sz w:val="20"/>
                <w:szCs w:val="20"/>
                <w:lang w:bidi="hi-IN"/>
              </w:rPr>
              <w:t xml:space="preserve">bank rate prevailing </w:t>
            </w:r>
            <w:r w:rsidRPr="003F383B">
              <w:rPr>
                <w:rFonts w:ascii="Bookman Old Style" w:eastAsia="CIDFont+F2" w:hAnsi="Bookman Old Style" w:cs="CIDFont+F2"/>
                <w:sz w:val="20"/>
                <w:szCs w:val="20"/>
                <w:lang w:bidi="hi-IN"/>
              </w:rPr>
              <w:t>as on 1st April of the respective year of the tariff</w:t>
            </w:r>
            <w:r w:rsidR="003F383B" w:rsidRPr="003F383B">
              <w:rPr>
                <w:rFonts w:ascii="Bookman Old Style" w:eastAsia="CIDFont+F2" w:hAnsi="Bookman Old Style" w:cs="CIDFont+F2"/>
                <w:sz w:val="20"/>
                <w:szCs w:val="20"/>
                <w:lang w:bidi="hi-IN"/>
              </w:rPr>
              <w:t xml:space="preserve"> </w:t>
            </w:r>
            <w:r w:rsidRPr="003F383B">
              <w:rPr>
                <w:rFonts w:ascii="Bookman Old Style" w:eastAsia="CIDFont+F2" w:hAnsi="Bookman Old Style" w:cs="CIDFont+F2"/>
                <w:sz w:val="20"/>
                <w:szCs w:val="20"/>
                <w:lang w:bidi="hi-IN"/>
              </w:rPr>
              <w:t>period</w:t>
            </w:r>
            <w:r w:rsidRPr="003F383B">
              <w:rPr>
                <w:rFonts w:ascii="Bookman Old Style" w:eastAsia="CIDFont+F2" w:hAnsi="Bookman Old Style" w:cs="CIDFont+F2"/>
                <w:b/>
                <w:bCs/>
                <w:sz w:val="20"/>
                <w:szCs w:val="20"/>
                <w:lang w:bidi="hi-IN"/>
              </w:rPr>
              <w:t xml:space="preserve">, </w:t>
            </w:r>
            <w:r w:rsidRPr="003F383B">
              <w:rPr>
                <w:rFonts w:ascii="Bookman Old Style" w:eastAsia="CIDFont+F2" w:hAnsi="Bookman Old Style" w:cs="CIDFont+F2"/>
                <w:sz w:val="20"/>
                <w:szCs w:val="20"/>
                <w:lang w:bidi="hi-IN"/>
              </w:rPr>
              <w:t>in six equal monthly instalments</w:t>
            </w:r>
          </w:p>
        </w:tc>
        <w:tc>
          <w:tcPr>
            <w:tcW w:w="5245" w:type="dxa"/>
          </w:tcPr>
          <w:p w14:paraId="0D7D04A7" w14:textId="77777777" w:rsidR="003F383B" w:rsidRPr="003F383B" w:rsidRDefault="003F383B" w:rsidP="00E640A1">
            <w:pPr>
              <w:jc w:val="both"/>
              <w:rPr>
                <w:rFonts w:ascii="Bookman Old Style" w:hAnsi="Bookman Old Style" w:cs="Arial"/>
                <w:sz w:val="20"/>
                <w:szCs w:val="20"/>
                <w:lang w:eastAsia="en-IN"/>
              </w:rPr>
            </w:pPr>
          </w:p>
          <w:p w14:paraId="71A445EB" w14:textId="77777777" w:rsidR="003F383B" w:rsidRPr="003F383B" w:rsidRDefault="003F383B" w:rsidP="00E640A1">
            <w:pPr>
              <w:jc w:val="both"/>
              <w:rPr>
                <w:rFonts w:ascii="Bookman Old Style" w:hAnsi="Bookman Old Style" w:cs="Arial"/>
                <w:sz w:val="20"/>
                <w:szCs w:val="20"/>
                <w:lang w:eastAsia="en-IN"/>
              </w:rPr>
            </w:pPr>
          </w:p>
          <w:p w14:paraId="2DE12468" w14:textId="102835CA" w:rsidR="00576017" w:rsidRPr="003F383B" w:rsidRDefault="00576017" w:rsidP="00E640A1">
            <w:pPr>
              <w:jc w:val="both"/>
              <w:rPr>
                <w:rFonts w:ascii="Bookman Old Style" w:hAnsi="Bookman Old Style" w:cs="Arial"/>
                <w:sz w:val="20"/>
                <w:szCs w:val="20"/>
                <w:lang w:eastAsia="en-IN"/>
              </w:rPr>
            </w:pPr>
            <w:r w:rsidRPr="003F383B">
              <w:rPr>
                <w:rFonts w:ascii="Bookman Old Style" w:hAnsi="Bookman Old Style" w:cs="Arial"/>
                <w:sz w:val="20"/>
                <w:szCs w:val="20"/>
                <w:lang w:eastAsia="en-IN"/>
              </w:rPr>
              <w:t xml:space="preserve">Subject to Sub-Clause (8) below, the difference between the tariff determined in accordance with clauses (3) and (5) above and clauses (4) and (5) above, shall be recovered from or refunded to, the beneficiaries or the long term customers, as the case may be, with simple interest at the rate equal to the </w:t>
            </w:r>
            <w:r w:rsidRPr="003F383B">
              <w:rPr>
                <w:rFonts w:ascii="Bookman Old Style" w:hAnsi="Bookman Old Style" w:cs="Arial"/>
                <w:b/>
                <w:bCs/>
                <w:sz w:val="20"/>
                <w:szCs w:val="20"/>
                <w:lang w:eastAsia="en-IN"/>
              </w:rPr>
              <w:t xml:space="preserve">1 year SBI MCLR plus 100 basis points prevailing </w:t>
            </w:r>
            <w:r w:rsidRPr="003F383B">
              <w:rPr>
                <w:rFonts w:ascii="Bookman Old Style" w:hAnsi="Bookman Old Style" w:cs="Arial"/>
                <w:sz w:val="20"/>
                <w:szCs w:val="20"/>
                <w:lang w:eastAsia="en-IN"/>
              </w:rPr>
              <w:t>as on 1st April of the respective year of the tariff period</w:t>
            </w:r>
            <w:r w:rsidRPr="003F383B">
              <w:rPr>
                <w:rFonts w:ascii="Bookman Old Style" w:hAnsi="Bookman Old Style" w:cs="Arial"/>
                <w:b/>
                <w:bCs/>
                <w:sz w:val="20"/>
                <w:szCs w:val="20"/>
                <w:lang w:eastAsia="en-IN"/>
              </w:rPr>
              <w:t>,</w:t>
            </w:r>
            <w:r w:rsidRPr="003F383B">
              <w:rPr>
                <w:rFonts w:ascii="Bookman Old Style" w:hAnsi="Bookman Old Style" w:cs="Arial"/>
                <w:sz w:val="20"/>
                <w:szCs w:val="20"/>
                <w:lang w:eastAsia="en-IN"/>
              </w:rPr>
              <w:t xml:space="preserve"> in six equal monthly instalments. </w:t>
            </w:r>
          </w:p>
          <w:p w14:paraId="4166F4D2" w14:textId="159A6DBB" w:rsidR="00576017" w:rsidRPr="003F383B" w:rsidRDefault="00576017" w:rsidP="00E640A1">
            <w:pPr>
              <w:jc w:val="both"/>
              <w:rPr>
                <w:rFonts w:ascii="Bookman Old Style" w:hAnsi="Bookman Old Style" w:cs="Arial"/>
                <w:sz w:val="20"/>
                <w:szCs w:val="20"/>
                <w:lang w:eastAsia="en-IN"/>
              </w:rPr>
            </w:pPr>
            <w:r w:rsidRPr="003F383B">
              <w:rPr>
                <w:rFonts w:ascii="Bookman Old Style" w:hAnsi="Bookman Old Style" w:cs="Arial"/>
                <w:sz w:val="20"/>
                <w:szCs w:val="20"/>
                <w:lang w:eastAsia="en-IN"/>
              </w:rPr>
              <w:t>…….</w:t>
            </w:r>
          </w:p>
          <w:p w14:paraId="12DF24FB" w14:textId="77777777" w:rsidR="003F383B" w:rsidRPr="003F383B" w:rsidRDefault="003F383B" w:rsidP="00E640A1">
            <w:pPr>
              <w:jc w:val="both"/>
              <w:rPr>
                <w:rFonts w:ascii="Bookman Old Style" w:hAnsi="Bookman Old Style" w:cs="Arial"/>
                <w:sz w:val="20"/>
                <w:szCs w:val="20"/>
                <w:lang w:eastAsia="en-IN"/>
              </w:rPr>
            </w:pPr>
          </w:p>
          <w:p w14:paraId="754E6D4C" w14:textId="38818CFF" w:rsidR="00576017" w:rsidRPr="003F383B" w:rsidRDefault="00576017" w:rsidP="00E640A1">
            <w:pPr>
              <w:jc w:val="both"/>
              <w:rPr>
                <w:rFonts w:ascii="Bookman Old Style" w:hAnsi="Bookman Old Style" w:cs="Arial"/>
                <w:b/>
                <w:bCs/>
                <w:sz w:val="20"/>
                <w:szCs w:val="20"/>
                <w:lang w:eastAsia="en-IN"/>
              </w:rPr>
            </w:pPr>
            <w:r w:rsidRPr="003F383B">
              <w:rPr>
                <w:rFonts w:ascii="Bookman Old Style" w:hAnsi="Bookman Old Style" w:cs="Arial"/>
                <w:sz w:val="20"/>
                <w:szCs w:val="20"/>
                <w:lang w:eastAsia="en-IN"/>
              </w:rPr>
              <w:t xml:space="preserve"> Provided further that such interest, including that determined as per sub-clause (8) of this regulation 29 shall be payable till the date of issuance of the Order </w:t>
            </w:r>
            <w:r w:rsidRPr="003F383B">
              <w:rPr>
                <w:rFonts w:ascii="Bookman Old Style" w:hAnsi="Bookman Old Style" w:cs="Arial"/>
                <w:b/>
                <w:bCs/>
                <w:sz w:val="20"/>
                <w:szCs w:val="20"/>
                <w:lang w:eastAsia="en-IN"/>
              </w:rPr>
              <w:t xml:space="preserve">and no interest shall be allowed or levied during the period of six-monthly instalments. </w:t>
            </w:r>
            <w:proofErr w:type="gramStart"/>
            <w:r w:rsidR="003F383B" w:rsidRPr="003F383B">
              <w:rPr>
                <w:rFonts w:ascii="Bookman Old Style" w:hAnsi="Bookman Old Style" w:cs="Arial"/>
                <w:b/>
                <w:bCs/>
                <w:sz w:val="20"/>
                <w:szCs w:val="20"/>
                <w:lang w:eastAsia="en-IN"/>
              </w:rPr>
              <w:t>( ADDED</w:t>
            </w:r>
            <w:proofErr w:type="gramEnd"/>
            <w:r w:rsidR="003F383B" w:rsidRPr="003F383B">
              <w:rPr>
                <w:rFonts w:ascii="Bookman Old Style" w:hAnsi="Bookman Old Style" w:cs="Arial"/>
                <w:b/>
                <w:bCs/>
                <w:sz w:val="20"/>
                <w:szCs w:val="20"/>
                <w:lang w:eastAsia="en-IN"/>
              </w:rPr>
              <w:t>)</w:t>
            </w:r>
          </w:p>
          <w:p w14:paraId="5CC3EF9F" w14:textId="77777777" w:rsidR="00576017" w:rsidRPr="003F383B" w:rsidRDefault="00576017" w:rsidP="00E640A1">
            <w:pPr>
              <w:jc w:val="both"/>
              <w:rPr>
                <w:rFonts w:ascii="Bookman Old Style" w:hAnsi="Bookman Old Style" w:cs="Arial"/>
                <w:sz w:val="20"/>
                <w:szCs w:val="20"/>
                <w:lang w:eastAsia="en-IN"/>
              </w:rPr>
            </w:pPr>
          </w:p>
          <w:p w14:paraId="63CCA012" w14:textId="77777777" w:rsidR="00576017" w:rsidRPr="003F383B" w:rsidRDefault="00576017" w:rsidP="00E640A1">
            <w:pPr>
              <w:contextualSpacing/>
              <w:jc w:val="both"/>
              <w:rPr>
                <w:rFonts w:ascii="Bookman Old Style" w:hAnsi="Bookman Old Style"/>
                <w:w w:val="115"/>
                <w:sz w:val="20"/>
                <w:szCs w:val="20"/>
              </w:rPr>
            </w:pPr>
            <w:r w:rsidRPr="003F383B">
              <w:rPr>
                <w:rFonts w:ascii="Bookman Old Style" w:hAnsi="Bookman Old Style"/>
                <w:w w:val="115"/>
                <w:sz w:val="20"/>
                <w:szCs w:val="20"/>
              </w:rPr>
              <w:t>…..</w:t>
            </w:r>
          </w:p>
        </w:tc>
        <w:tc>
          <w:tcPr>
            <w:tcW w:w="7796" w:type="dxa"/>
          </w:tcPr>
          <w:p w14:paraId="3C25AF4D" w14:textId="77777777" w:rsidR="00576017" w:rsidRPr="003F383B" w:rsidRDefault="00576017" w:rsidP="00701020">
            <w:pPr>
              <w:jc w:val="both"/>
              <w:rPr>
                <w:rFonts w:ascii="Bookman Old Style" w:hAnsi="Bookman Old Style" w:cs="Arial"/>
                <w:sz w:val="20"/>
                <w:szCs w:val="20"/>
                <w:lang w:eastAsia="en-IN"/>
              </w:rPr>
            </w:pPr>
            <w:r w:rsidRPr="003F383B">
              <w:rPr>
                <w:rFonts w:ascii="Bookman Old Style" w:hAnsi="Bookman Old Style" w:cs="Arial"/>
                <w:sz w:val="20"/>
                <w:szCs w:val="20"/>
                <w:lang w:eastAsia="en-IN"/>
              </w:rPr>
              <w:t>The ibid clause may be amended as under:</w:t>
            </w:r>
          </w:p>
          <w:p w14:paraId="0CC2F1DF" w14:textId="77777777" w:rsidR="00576017" w:rsidRPr="003F383B" w:rsidRDefault="00576017" w:rsidP="00701020">
            <w:pPr>
              <w:jc w:val="both"/>
              <w:rPr>
                <w:rFonts w:ascii="Bookman Old Style" w:hAnsi="Bookman Old Style" w:cs="Arial"/>
                <w:sz w:val="20"/>
                <w:szCs w:val="20"/>
                <w:lang w:eastAsia="en-IN"/>
              </w:rPr>
            </w:pPr>
          </w:p>
          <w:p w14:paraId="2DC5A3C5" w14:textId="3E84F2AE" w:rsidR="00576017" w:rsidRPr="003F383B" w:rsidRDefault="00576017" w:rsidP="00701020">
            <w:pPr>
              <w:jc w:val="both"/>
              <w:rPr>
                <w:rFonts w:ascii="Bookman Old Style" w:hAnsi="Bookman Old Style" w:cs="Arial"/>
                <w:b/>
                <w:bCs/>
                <w:sz w:val="20"/>
                <w:szCs w:val="20"/>
                <w:lang w:eastAsia="en-IN"/>
              </w:rPr>
            </w:pPr>
            <w:r w:rsidRPr="003F383B">
              <w:rPr>
                <w:rFonts w:ascii="Bookman Old Style" w:hAnsi="Bookman Old Style" w:cs="Arial"/>
                <w:sz w:val="20"/>
                <w:szCs w:val="20"/>
                <w:lang w:eastAsia="en-IN"/>
              </w:rPr>
              <w:t xml:space="preserve">Subject to Sub-Clause (8) below, the difference between the tariff determined in accordance with clauses (3) and (5) above and clauses (4) and (5) above, shall be recovered from or refunded to, the beneficiaries or the long term customers, as the case may be, with simple interest at the rate equal to the 1 year SBI MCLR plus 100 basis points prevailing as on 1st April of the respective year of the tariff period, in six equal monthly instalments </w:t>
            </w:r>
            <w:r w:rsidRPr="003F383B">
              <w:rPr>
                <w:rFonts w:ascii="Bookman Old Style" w:hAnsi="Bookman Old Style" w:cs="Arial"/>
                <w:b/>
                <w:bCs/>
                <w:sz w:val="20"/>
                <w:szCs w:val="20"/>
                <w:lang w:eastAsia="en-IN"/>
              </w:rPr>
              <w:t>through invoices for each monthly instalment respectively, thereby allowing rebate</w:t>
            </w:r>
            <w:r w:rsidR="008708D7">
              <w:rPr>
                <w:rFonts w:ascii="Bookman Old Style" w:hAnsi="Bookman Old Style" w:cs="Arial"/>
                <w:b/>
                <w:bCs/>
                <w:sz w:val="20"/>
                <w:szCs w:val="20"/>
                <w:lang w:eastAsia="en-IN"/>
              </w:rPr>
              <w:t>, as per Regulations,</w:t>
            </w:r>
            <w:r w:rsidRPr="003F383B">
              <w:rPr>
                <w:rFonts w:ascii="Bookman Old Style" w:hAnsi="Bookman Old Style" w:cs="Arial"/>
                <w:b/>
                <w:bCs/>
                <w:sz w:val="20"/>
                <w:szCs w:val="20"/>
                <w:lang w:eastAsia="en-IN"/>
              </w:rPr>
              <w:t xml:space="preserve"> on each six installment</w:t>
            </w:r>
            <w:r w:rsidR="003F383B" w:rsidRPr="003F383B">
              <w:rPr>
                <w:rFonts w:ascii="Bookman Old Style" w:hAnsi="Bookman Old Style" w:cs="Arial"/>
                <w:b/>
                <w:bCs/>
                <w:sz w:val="20"/>
                <w:szCs w:val="20"/>
                <w:lang w:eastAsia="en-IN"/>
              </w:rPr>
              <w:t>s.</w:t>
            </w:r>
          </w:p>
          <w:p w14:paraId="12289968" w14:textId="77777777" w:rsidR="00576017" w:rsidRPr="003F383B" w:rsidRDefault="00576017" w:rsidP="00701020">
            <w:pPr>
              <w:jc w:val="both"/>
              <w:rPr>
                <w:rFonts w:ascii="Bookman Old Style" w:hAnsi="Bookman Old Style" w:cs="Arial"/>
                <w:sz w:val="20"/>
                <w:szCs w:val="20"/>
                <w:lang w:eastAsia="en-IN"/>
              </w:rPr>
            </w:pPr>
          </w:p>
          <w:p w14:paraId="0955F829" w14:textId="77777777" w:rsidR="00576017" w:rsidRPr="003F383B" w:rsidRDefault="00576017" w:rsidP="00701020">
            <w:pPr>
              <w:jc w:val="both"/>
              <w:rPr>
                <w:rFonts w:ascii="Bookman Old Style" w:hAnsi="Bookman Old Style" w:cs="Arial"/>
                <w:sz w:val="20"/>
                <w:szCs w:val="20"/>
                <w:lang w:eastAsia="en-IN"/>
              </w:rPr>
            </w:pPr>
            <w:r w:rsidRPr="003F383B">
              <w:rPr>
                <w:rFonts w:ascii="Bookman Old Style" w:hAnsi="Bookman Old Style" w:cs="Arial"/>
                <w:sz w:val="20"/>
                <w:szCs w:val="20"/>
                <w:lang w:eastAsia="en-IN"/>
              </w:rPr>
              <w:t>……….</w:t>
            </w:r>
          </w:p>
          <w:p w14:paraId="121C985E" w14:textId="77777777" w:rsidR="00576017" w:rsidRPr="003F383B" w:rsidRDefault="00576017" w:rsidP="00701020">
            <w:pPr>
              <w:jc w:val="both"/>
              <w:rPr>
                <w:rFonts w:ascii="Bookman Old Style" w:hAnsi="Bookman Old Style" w:cs="Arial"/>
                <w:sz w:val="20"/>
                <w:szCs w:val="20"/>
                <w:lang w:eastAsia="en-IN"/>
              </w:rPr>
            </w:pPr>
          </w:p>
          <w:p w14:paraId="6E0E078B" w14:textId="0D5ED003" w:rsidR="00576017" w:rsidRPr="003F383B" w:rsidRDefault="00576017" w:rsidP="00701020">
            <w:pPr>
              <w:jc w:val="both"/>
              <w:rPr>
                <w:rFonts w:ascii="Bookman Old Style" w:hAnsi="Bookman Old Style" w:cs="Arial"/>
                <w:sz w:val="20"/>
                <w:szCs w:val="20"/>
                <w:lang w:eastAsia="en-IN"/>
              </w:rPr>
            </w:pPr>
            <w:r w:rsidRPr="003F383B">
              <w:rPr>
                <w:rFonts w:ascii="Bookman Old Style" w:hAnsi="Bookman Old Style" w:cs="Arial"/>
                <w:sz w:val="20"/>
                <w:szCs w:val="20"/>
                <w:lang w:eastAsia="en-IN"/>
              </w:rPr>
              <w:t xml:space="preserve">Provided further that such interest, including that determined as per sub-clause (8) of this </w:t>
            </w:r>
            <w:r w:rsidR="0061000A">
              <w:rPr>
                <w:rFonts w:ascii="Bookman Old Style" w:hAnsi="Bookman Old Style" w:cs="Arial"/>
                <w:sz w:val="20"/>
                <w:szCs w:val="20"/>
                <w:lang w:eastAsia="en-IN"/>
              </w:rPr>
              <w:t>R</w:t>
            </w:r>
            <w:r w:rsidRPr="003F383B">
              <w:rPr>
                <w:rFonts w:ascii="Bookman Old Style" w:hAnsi="Bookman Old Style" w:cs="Arial"/>
                <w:sz w:val="20"/>
                <w:szCs w:val="20"/>
                <w:lang w:eastAsia="en-IN"/>
              </w:rPr>
              <w:t>egulation 29 shall be payable till the date of issuance of the Order and no interest shall be allowed or levied during the period of six-monthly instalments.</w:t>
            </w:r>
          </w:p>
          <w:p w14:paraId="57F1509B" w14:textId="77777777" w:rsidR="00576017" w:rsidRPr="003F383B" w:rsidRDefault="00576017" w:rsidP="00701020">
            <w:pPr>
              <w:contextualSpacing/>
              <w:jc w:val="both"/>
              <w:rPr>
                <w:rFonts w:ascii="Bookman Old Style" w:hAnsi="Bookman Old Style"/>
                <w:spacing w:val="-2"/>
                <w:w w:val="110"/>
                <w:sz w:val="20"/>
                <w:szCs w:val="20"/>
              </w:rPr>
            </w:pPr>
          </w:p>
          <w:p w14:paraId="47E488EC" w14:textId="2606E13D" w:rsidR="00576017" w:rsidRPr="003F383B" w:rsidRDefault="00576017" w:rsidP="00701020">
            <w:pPr>
              <w:contextualSpacing/>
              <w:jc w:val="both"/>
              <w:rPr>
                <w:rFonts w:ascii="Bookman Old Style" w:hAnsi="Bookman Old Style"/>
                <w:spacing w:val="-2"/>
                <w:w w:val="110"/>
                <w:sz w:val="20"/>
                <w:szCs w:val="20"/>
              </w:rPr>
            </w:pPr>
            <w:r w:rsidRPr="003F383B">
              <w:rPr>
                <w:rFonts w:ascii="Bookman Old Style" w:hAnsi="Bookman Old Style"/>
                <w:spacing w:val="-2"/>
                <w:w w:val="110"/>
                <w:sz w:val="20"/>
                <w:szCs w:val="20"/>
              </w:rPr>
              <w:t xml:space="preserve">It is pertinent to point out that </w:t>
            </w:r>
            <w:r w:rsidR="00D2408B">
              <w:rPr>
                <w:rFonts w:ascii="Bookman Old Style" w:hAnsi="Bookman Old Style"/>
                <w:spacing w:val="-2"/>
                <w:w w:val="110"/>
                <w:sz w:val="20"/>
                <w:szCs w:val="20"/>
              </w:rPr>
              <w:t>various</w:t>
            </w:r>
            <w:r w:rsidRPr="003F383B">
              <w:rPr>
                <w:rFonts w:ascii="Bookman Old Style" w:hAnsi="Bookman Old Style"/>
                <w:spacing w:val="-2"/>
                <w:w w:val="110"/>
                <w:sz w:val="20"/>
                <w:szCs w:val="20"/>
              </w:rPr>
              <w:t xml:space="preserve"> Generators are </w:t>
            </w:r>
            <w:r w:rsidR="00D2408B">
              <w:rPr>
                <w:rFonts w:ascii="Bookman Old Style" w:hAnsi="Bookman Old Style"/>
                <w:spacing w:val="-2"/>
                <w:w w:val="110"/>
                <w:sz w:val="20"/>
                <w:szCs w:val="20"/>
              </w:rPr>
              <w:t>enforcing</w:t>
            </w:r>
            <w:r w:rsidRPr="003F383B">
              <w:rPr>
                <w:rFonts w:ascii="Bookman Old Style" w:hAnsi="Bookman Old Style"/>
                <w:spacing w:val="-2"/>
                <w:w w:val="110"/>
                <w:sz w:val="20"/>
                <w:szCs w:val="20"/>
              </w:rPr>
              <w:t xml:space="preserve"> the existing CERC Tariff Regulations 2019 in different </w:t>
            </w:r>
            <w:proofErr w:type="spellStart"/>
            <w:proofErr w:type="gramStart"/>
            <w:r w:rsidRPr="003F383B">
              <w:rPr>
                <w:rFonts w:ascii="Bookman Old Style" w:hAnsi="Bookman Old Style"/>
                <w:spacing w:val="-2"/>
                <w:w w:val="110"/>
                <w:sz w:val="20"/>
                <w:szCs w:val="20"/>
              </w:rPr>
              <w:t>manner</w:t>
            </w:r>
            <w:r w:rsidR="00D2408B">
              <w:rPr>
                <w:rFonts w:ascii="Bookman Old Style" w:hAnsi="Bookman Old Style"/>
                <w:spacing w:val="-2"/>
                <w:w w:val="110"/>
                <w:sz w:val="20"/>
                <w:szCs w:val="20"/>
              </w:rPr>
              <w:t>s</w:t>
            </w:r>
            <w:r w:rsidR="00031261">
              <w:rPr>
                <w:rFonts w:ascii="Bookman Old Style" w:hAnsi="Bookman Old Style"/>
                <w:spacing w:val="-2"/>
                <w:w w:val="110"/>
                <w:sz w:val="20"/>
                <w:szCs w:val="20"/>
              </w:rPr>
              <w:t>,which</w:t>
            </w:r>
            <w:proofErr w:type="spellEnd"/>
            <w:proofErr w:type="gramEnd"/>
            <w:r w:rsidR="00D2408B">
              <w:rPr>
                <w:rFonts w:ascii="Bookman Old Style" w:hAnsi="Bookman Old Style"/>
                <w:spacing w:val="-2"/>
                <w:w w:val="110"/>
                <w:sz w:val="20"/>
                <w:szCs w:val="20"/>
              </w:rPr>
              <w:t xml:space="preserve"> are</w:t>
            </w:r>
            <w:r w:rsidRPr="003F383B">
              <w:rPr>
                <w:rFonts w:ascii="Bookman Old Style" w:hAnsi="Bookman Old Style"/>
                <w:spacing w:val="-2"/>
                <w:w w:val="110"/>
                <w:sz w:val="20"/>
                <w:szCs w:val="20"/>
              </w:rPr>
              <w:t xml:space="preserve"> brought hereunder:</w:t>
            </w:r>
          </w:p>
          <w:p w14:paraId="33039C1F" w14:textId="2C892ACD" w:rsidR="00701020" w:rsidRPr="003F383B" w:rsidRDefault="00701020" w:rsidP="00701020">
            <w:pPr>
              <w:contextualSpacing/>
              <w:jc w:val="both"/>
              <w:rPr>
                <w:rFonts w:ascii="Bookman Old Style" w:hAnsi="Bookman Old Style"/>
                <w:spacing w:val="-2"/>
                <w:w w:val="110"/>
                <w:sz w:val="20"/>
                <w:szCs w:val="20"/>
              </w:rPr>
            </w:pPr>
          </w:p>
          <w:p w14:paraId="72649772" w14:textId="04E435E4" w:rsidR="00701020" w:rsidRPr="003F383B" w:rsidRDefault="00701020" w:rsidP="00701020">
            <w:pPr>
              <w:pStyle w:val="ListParagraph"/>
              <w:numPr>
                <w:ilvl w:val="0"/>
                <w:numId w:val="2"/>
              </w:numPr>
              <w:spacing w:line="240" w:lineRule="auto"/>
              <w:ind w:left="330" w:hanging="284"/>
              <w:jc w:val="both"/>
              <w:rPr>
                <w:rFonts w:ascii="Bookman Old Style" w:hAnsi="Bookman Old Style" w:cs="Arial"/>
                <w:sz w:val="20"/>
              </w:rPr>
            </w:pPr>
            <w:r w:rsidRPr="003F383B">
              <w:rPr>
                <w:rFonts w:ascii="Bookman Old Style" w:hAnsi="Bookman Old Style" w:cs="Arial"/>
                <w:color w:val="222222"/>
                <w:sz w:val="20"/>
              </w:rPr>
              <w:t xml:space="preserve">M/s NHPC issues a single invoice for the shortfall amount and allows payment in six instalments without considering the rebate specified in </w:t>
            </w:r>
            <w:r w:rsidR="00031261">
              <w:rPr>
                <w:rFonts w:ascii="Bookman Old Style" w:hAnsi="Bookman Old Style" w:cs="Arial"/>
                <w:color w:val="222222"/>
                <w:sz w:val="20"/>
              </w:rPr>
              <w:t>Regulation</w:t>
            </w:r>
            <w:r w:rsidRPr="003F383B">
              <w:rPr>
                <w:rFonts w:ascii="Bookman Old Style" w:hAnsi="Bookman Old Style" w:cs="Arial"/>
                <w:color w:val="222222"/>
                <w:sz w:val="20"/>
              </w:rPr>
              <w:t xml:space="preserve"> No. 58 of the Tariff Regulations. The rebate policy of NHPC applicable in respect of instalment payments received on or after 01.10.2023 is attached a</w:t>
            </w:r>
            <w:r w:rsidR="003F383B" w:rsidRPr="003F383B">
              <w:rPr>
                <w:rFonts w:ascii="Bookman Old Style" w:hAnsi="Bookman Old Style" w:cs="Arial"/>
                <w:color w:val="222222"/>
                <w:sz w:val="20"/>
              </w:rPr>
              <w:t xml:space="preserve">s </w:t>
            </w:r>
            <w:r w:rsidR="003F383B" w:rsidRPr="00031261">
              <w:rPr>
                <w:rFonts w:ascii="Bookman Old Style" w:hAnsi="Bookman Old Style" w:cs="Arial"/>
                <w:b/>
                <w:bCs/>
                <w:color w:val="222222"/>
                <w:sz w:val="20"/>
              </w:rPr>
              <w:t>Annexure A.</w:t>
            </w:r>
            <w:r w:rsidRPr="003F383B">
              <w:rPr>
                <w:rFonts w:ascii="Bookman Old Style" w:hAnsi="Bookman Old Style" w:cs="Arial"/>
                <w:color w:val="222222"/>
                <w:sz w:val="20"/>
              </w:rPr>
              <w:t xml:space="preserve"> </w:t>
            </w:r>
          </w:p>
          <w:p w14:paraId="44D7B247" w14:textId="6B90F10B" w:rsidR="00A35602" w:rsidRPr="00A35602" w:rsidRDefault="00701020" w:rsidP="00701020">
            <w:pPr>
              <w:pStyle w:val="ListParagraph"/>
              <w:numPr>
                <w:ilvl w:val="0"/>
                <w:numId w:val="2"/>
              </w:numPr>
              <w:spacing w:line="240" w:lineRule="auto"/>
              <w:ind w:left="330" w:hanging="284"/>
              <w:jc w:val="both"/>
              <w:rPr>
                <w:rFonts w:ascii="Bookman Old Style" w:hAnsi="Bookman Old Style" w:cs="Arial"/>
                <w:sz w:val="20"/>
              </w:rPr>
            </w:pPr>
            <w:r w:rsidRPr="003F383B">
              <w:rPr>
                <w:rFonts w:ascii="Bookman Old Style" w:hAnsi="Bookman Old Style" w:cs="Arial"/>
                <w:color w:val="222222"/>
                <w:sz w:val="20"/>
              </w:rPr>
              <w:t xml:space="preserve">M/s NTPC and Aravali contends that the rebate is applicable only if the entire payment is made in one go </w:t>
            </w:r>
            <w:proofErr w:type="gramStart"/>
            <w:r w:rsidRPr="003F383B">
              <w:rPr>
                <w:rFonts w:ascii="Bookman Old Style" w:hAnsi="Bookman Old Style" w:cs="Arial"/>
                <w:color w:val="222222"/>
                <w:sz w:val="20"/>
              </w:rPr>
              <w:t>and also</w:t>
            </w:r>
            <w:proofErr w:type="gramEnd"/>
            <w:r w:rsidRPr="003F383B">
              <w:rPr>
                <w:rFonts w:ascii="Bookman Old Style" w:hAnsi="Bookman Old Style" w:cs="Arial"/>
                <w:color w:val="222222"/>
                <w:sz w:val="20"/>
              </w:rPr>
              <w:t xml:space="preserve"> asserts that in case, HPPC makes the payments in six equal instalments, the interest will be charged as applicable in </w:t>
            </w:r>
            <w:r w:rsidR="00031261">
              <w:rPr>
                <w:rFonts w:ascii="Bookman Old Style" w:hAnsi="Bookman Old Style" w:cs="Arial"/>
                <w:color w:val="222222"/>
                <w:sz w:val="20"/>
              </w:rPr>
              <w:t>Regulation</w:t>
            </w:r>
            <w:r w:rsidRPr="003F383B">
              <w:rPr>
                <w:rFonts w:ascii="Bookman Old Style" w:hAnsi="Bookman Old Style" w:cs="Arial"/>
                <w:color w:val="222222"/>
                <w:sz w:val="20"/>
              </w:rPr>
              <w:t xml:space="preserve"> No. 59 of the </w:t>
            </w:r>
            <w:r w:rsidR="003F383B" w:rsidRPr="003F383B">
              <w:rPr>
                <w:rFonts w:ascii="Bookman Old Style" w:hAnsi="Bookman Old Style" w:cs="Arial"/>
                <w:color w:val="222222"/>
                <w:sz w:val="20"/>
              </w:rPr>
              <w:t>T</w:t>
            </w:r>
            <w:r w:rsidRPr="003F383B">
              <w:rPr>
                <w:rFonts w:ascii="Bookman Old Style" w:hAnsi="Bookman Old Style" w:cs="Arial"/>
                <w:color w:val="222222"/>
                <w:sz w:val="20"/>
              </w:rPr>
              <w:t xml:space="preserve">ariff </w:t>
            </w:r>
            <w:r w:rsidR="003F383B" w:rsidRPr="003F383B">
              <w:rPr>
                <w:rFonts w:ascii="Bookman Old Style" w:hAnsi="Bookman Old Style" w:cs="Arial"/>
                <w:color w:val="222222"/>
                <w:sz w:val="20"/>
              </w:rPr>
              <w:t>R</w:t>
            </w:r>
            <w:r w:rsidRPr="003F383B">
              <w:rPr>
                <w:rFonts w:ascii="Bookman Old Style" w:hAnsi="Bookman Old Style" w:cs="Arial"/>
                <w:color w:val="222222"/>
                <w:sz w:val="20"/>
              </w:rPr>
              <w:t>egulations.</w:t>
            </w:r>
            <w:r w:rsidR="00031261">
              <w:rPr>
                <w:rFonts w:ascii="Bookman Old Style" w:hAnsi="Bookman Old Style" w:cs="Arial"/>
                <w:color w:val="222222"/>
                <w:sz w:val="20"/>
              </w:rPr>
              <w:t xml:space="preserve"> For </w:t>
            </w:r>
            <w:r w:rsidR="00112F5A">
              <w:rPr>
                <w:rFonts w:ascii="Bookman Old Style" w:hAnsi="Bookman Old Style" w:cs="Arial"/>
                <w:color w:val="222222"/>
                <w:sz w:val="20"/>
              </w:rPr>
              <w:t>instance, NTPC in its invoice dated 06.11.2023</w:t>
            </w:r>
            <w:r w:rsidR="00A35602">
              <w:rPr>
                <w:rFonts w:ascii="Bookman Old Style" w:hAnsi="Bookman Old Style" w:cs="Arial"/>
                <w:color w:val="222222"/>
                <w:sz w:val="20"/>
              </w:rPr>
              <w:t xml:space="preserve"> </w:t>
            </w:r>
            <w:proofErr w:type="gramStart"/>
            <w:r w:rsidR="00A35602">
              <w:rPr>
                <w:rFonts w:ascii="Bookman Old Style" w:hAnsi="Bookman Old Style" w:cs="Arial"/>
                <w:color w:val="222222"/>
                <w:sz w:val="20"/>
              </w:rPr>
              <w:t>( Annexure</w:t>
            </w:r>
            <w:proofErr w:type="gramEnd"/>
            <w:r w:rsidR="00A35602">
              <w:rPr>
                <w:rFonts w:ascii="Bookman Old Style" w:hAnsi="Bookman Old Style" w:cs="Arial"/>
                <w:color w:val="222222"/>
                <w:sz w:val="20"/>
              </w:rPr>
              <w:t xml:space="preserve"> B) has penned down the </w:t>
            </w:r>
            <w:r w:rsidR="00A35602">
              <w:rPr>
                <w:rFonts w:ascii="Bookman Old Style" w:hAnsi="Bookman Old Style" w:cs="Arial"/>
                <w:color w:val="222222"/>
                <w:sz w:val="20"/>
              </w:rPr>
              <w:lastRenderedPageBreak/>
              <w:t>note as reproduced below:</w:t>
            </w:r>
          </w:p>
          <w:p w14:paraId="1812E874" w14:textId="09EFC645" w:rsidR="00701020" w:rsidRPr="00A35602" w:rsidRDefault="00A35602" w:rsidP="00A35602">
            <w:pPr>
              <w:pStyle w:val="ListParagraph"/>
              <w:spacing w:line="240" w:lineRule="auto"/>
              <w:ind w:left="330"/>
              <w:jc w:val="both"/>
              <w:rPr>
                <w:rFonts w:ascii="Bookman Old Style" w:hAnsi="Bookman Old Style" w:cs="Arial"/>
                <w:b/>
                <w:bCs/>
                <w:color w:val="222222"/>
                <w:sz w:val="20"/>
              </w:rPr>
            </w:pPr>
            <w:r w:rsidRPr="00A35602">
              <w:rPr>
                <w:rFonts w:ascii="Bookman Old Style" w:hAnsi="Bookman Old Style" w:cs="Arial"/>
                <w:b/>
                <w:bCs/>
                <w:color w:val="222222"/>
                <w:sz w:val="20"/>
              </w:rPr>
              <w:t xml:space="preserve">Beneficiaries may choose to pay the Fixed charges </w:t>
            </w:r>
            <w:r>
              <w:rPr>
                <w:rFonts w:ascii="Bookman Old Style" w:hAnsi="Bookman Old Style" w:cs="Arial"/>
                <w:b/>
                <w:bCs/>
                <w:color w:val="222222"/>
                <w:sz w:val="20"/>
              </w:rPr>
              <w:t>(</w:t>
            </w:r>
            <w:r w:rsidRPr="00A35602">
              <w:rPr>
                <w:rFonts w:ascii="Bookman Old Style" w:hAnsi="Bookman Old Style" w:cs="Arial"/>
                <w:b/>
                <w:bCs/>
                <w:color w:val="222222"/>
                <w:sz w:val="20"/>
              </w:rPr>
              <w:t xml:space="preserve">NCTPS-2/KOLDAM in Six (06) monthly instalments. However, in case payment is made in Six instalments, the same shall attract interest as per CERC Regulations. </w:t>
            </w:r>
          </w:p>
          <w:p w14:paraId="0770B581" w14:textId="77777777" w:rsidR="00A35602" w:rsidRPr="003F383B" w:rsidRDefault="00A35602" w:rsidP="00A35602">
            <w:pPr>
              <w:pStyle w:val="ListParagraph"/>
              <w:spacing w:line="240" w:lineRule="auto"/>
              <w:ind w:left="330"/>
              <w:jc w:val="both"/>
              <w:rPr>
                <w:rFonts w:ascii="Bookman Old Style" w:hAnsi="Bookman Old Style" w:cs="Arial"/>
                <w:sz w:val="20"/>
              </w:rPr>
            </w:pPr>
          </w:p>
          <w:p w14:paraId="286C5D52" w14:textId="37B2CDD2" w:rsidR="00701020" w:rsidRPr="003F383B" w:rsidRDefault="00701020" w:rsidP="00701020">
            <w:pPr>
              <w:pStyle w:val="ListParagraph"/>
              <w:numPr>
                <w:ilvl w:val="0"/>
                <w:numId w:val="2"/>
              </w:numPr>
              <w:spacing w:line="240" w:lineRule="auto"/>
              <w:ind w:left="330" w:hanging="284"/>
              <w:jc w:val="both"/>
              <w:rPr>
                <w:rFonts w:ascii="Bookman Old Style" w:hAnsi="Bookman Old Style" w:cs="Arial"/>
                <w:sz w:val="20"/>
              </w:rPr>
            </w:pPr>
            <w:r w:rsidRPr="003F383B">
              <w:rPr>
                <w:rFonts w:ascii="Bookman Old Style" w:hAnsi="Bookman Old Style" w:cs="Arial"/>
                <w:color w:val="222222"/>
                <w:sz w:val="20"/>
              </w:rPr>
              <w:t xml:space="preserve">Notably, other suppliers such as SJVNL and THDC have adhered to the CERC regulations by raising recoverable amounts in six instalments respectively, and HPPC has successfully availed the rebate under </w:t>
            </w:r>
            <w:r w:rsidR="00031261">
              <w:rPr>
                <w:rFonts w:ascii="Bookman Old Style" w:hAnsi="Bookman Old Style" w:cs="Arial"/>
                <w:color w:val="222222"/>
                <w:sz w:val="20"/>
              </w:rPr>
              <w:t>Regulation</w:t>
            </w:r>
            <w:r w:rsidR="00031261" w:rsidRPr="003F383B">
              <w:rPr>
                <w:rFonts w:ascii="Bookman Old Style" w:hAnsi="Bookman Old Style" w:cs="Arial"/>
                <w:color w:val="222222"/>
                <w:sz w:val="20"/>
              </w:rPr>
              <w:t xml:space="preserve"> </w:t>
            </w:r>
            <w:r w:rsidRPr="003F383B">
              <w:rPr>
                <w:rFonts w:ascii="Bookman Old Style" w:hAnsi="Bookman Old Style" w:cs="Arial"/>
                <w:color w:val="222222"/>
                <w:sz w:val="20"/>
              </w:rPr>
              <w:t xml:space="preserve">No. 58 in such cases. </w:t>
            </w:r>
          </w:p>
          <w:p w14:paraId="2B443E95" w14:textId="6B5AF3B4" w:rsidR="00576017" w:rsidRPr="003F383B" w:rsidRDefault="00701020" w:rsidP="00701020">
            <w:pPr>
              <w:pStyle w:val="ListParagraph"/>
              <w:numPr>
                <w:ilvl w:val="0"/>
                <w:numId w:val="2"/>
              </w:numPr>
              <w:spacing w:line="240" w:lineRule="auto"/>
              <w:ind w:left="330" w:hanging="284"/>
              <w:jc w:val="both"/>
              <w:rPr>
                <w:rFonts w:ascii="Bookman Old Style" w:hAnsi="Bookman Old Style"/>
                <w:spacing w:val="-2"/>
                <w:w w:val="110"/>
                <w:sz w:val="20"/>
              </w:rPr>
            </w:pPr>
            <w:r w:rsidRPr="003F383B">
              <w:rPr>
                <w:rFonts w:ascii="Bookman Old Style" w:hAnsi="Bookman Old Style" w:cs="Arial"/>
                <w:color w:val="222222"/>
                <w:sz w:val="20"/>
              </w:rPr>
              <w:t xml:space="preserve">However, DVC has raised the single invoice with detail of </w:t>
            </w:r>
            <w:proofErr w:type="gramStart"/>
            <w:r w:rsidR="00031261">
              <w:rPr>
                <w:rFonts w:ascii="Bookman Old Style" w:hAnsi="Bookman Old Style" w:cs="Arial"/>
                <w:color w:val="222222"/>
                <w:sz w:val="20"/>
              </w:rPr>
              <w:t>six</w:t>
            </w:r>
            <w:r w:rsidRPr="003F383B">
              <w:rPr>
                <w:rFonts w:ascii="Bookman Old Style" w:hAnsi="Bookman Old Style" w:cs="Arial"/>
                <w:color w:val="222222"/>
                <w:sz w:val="20"/>
              </w:rPr>
              <w:t xml:space="preserve"> monthly</w:t>
            </w:r>
            <w:proofErr w:type="gramEnd"/>
            <w:r w:rsidRPr="003F383B">
              <w:rPr>
                <w:rFonts w:ascii="Bookman Old Style" w:hAnsi="Bookman Old Style" w:cs="Arial"/>
                <w:color w:val="222222"/>
                <w:sz w:val="20"/>
              </w:rPr>
              <w:t xml:space="preserve"> instalments and allowed the rebate of payment under </w:t>
            </w:r>
            <w:r w:rsidR="00031261">
              <w:rPr>
                <w:rFonts w:ascii="Bookman Old Style" w:hAnsi="Bookman Old Style" w:cs="Arial"/>
                <w:color w:val="222222"/>
                <w:sz w:val="20"/>
              </w:rPr>
              <w:t>Regulation</w:t>
            </w:r>
            <w:r w:rsidRPr="003F383B">
              <w:rPr>
                <w:rFonts w:ascii="Bookman Old Style" w:hAnsi="Bookman Old Style" w:cs="Arial"/>
                <w:color w:val="222222"/>
                <w:sz w:val="20"/>
              </w:rPr>
              <w:t xml:space="preserve"> No. 58. </w:t>
            </w:r>
          </w:p>
        </w:tc>
      </w:tr>
      <w:tr w:rsidR="00C12919" w:rsidRPr="003F383B" w14:paraId="2DF58AA6" w14:textId="77777777" w:rsidTr="00C12919">
        <w:trPr>
          <w:trHeight w:val="313"/>
        </w:trPr>
        <w:tc>
          <w:tcPr>
            <w:tcW w:w="18287" w:type="dxa"/>
            <w:gridSpan w:val="4"/>
          </w:tcPr>
          <w:p w14:paraId="7FB58A19" w14:textId="2F92CAB1" w:rsidR="00C12919" w:rsidRPr="003F383B" w:rsidRDefault="00C12919" w:rsidP="00C12919">
            <w:pPr>
              <w:contextualSpacing/>
              <w:jc w:val="center"/>
              <w:rPr>
                <w:rFonts w:ascii="Bookman Old Style" w:hAnsi="Bookman Old Style"/>
                <w:w w:val="110"/>
                <w:sz w:val="20"/>
                <w:szCs w:val="20"/>
              </w:rPr>
            </w:pPr>
            <w:r w:rsidRPr="003F383B">
              <w:rPr>
                <w:rFonts w:ascii="Bookman Old Style" w:hAnsi="Bookman Old Style"/>
                <w:b/>
                <w:bCs/>
                <w:w w:val="110"/>
                <w:sz w:val="20"/>
                <w:szCs w:val="20"/>
              </w:rPr>
              <w:lastRenderedPageBreak/>
              <w:t>CHAPTER-4</w:t>
            </w:r>
            <w:r w:rsidRPr="003F383B">
              <w:rPr>
                <w:rFonts w:ascii="Bookman Old Style" w:hAnsi="Bookman Old Style"/>
                <w:b/>
                <w:bCs/>
                <w:w w:val="110"/>
                <w:sz w:val="20"/>
                <w:szCs w:val="20"/>
              </w:rPr>
              <w:tab/>
              <w:t xml:space="preserve"> TARIFF STRUCTURE</w:t>
            </w:r>
          </w:p>
        </w:tc>
      </w:tr>
      <w:tr w:rsidR="00C12919" w:rsidRPr="003F383B" w14:paraId="32EE212A" w14:textId="77777777" w:rsidTr="006F46E5">
        <w:trPr>
          <w:trHeight w:val="416"/>
        </w:trPr>
        <w:tc>
          <w:tcPr>
            <w:tcW w:w="18287" w:type="dxa"/>
            <w:gridSpan w:val="4"/>
          </w:tcPr>
          <w:p w14:paraId="0D092571" w14:textId="1916A083" w:rsidR="00C12919" w:rsidRPr="003F383B" w:rsidRDefault="00C12919" w:rsidP="00C12919">
            <w:pPr>
              <w:contextualSpacing/>
              <w:jc w:val="both"/>
              <w:rPr>
                <w:rFonts w:ascii="Bookman Old Style" w:hAnsi="Bookman Old Style"/>
                <w:w w:val="110"/>
                <w:sz w:val="20"/>
                <w:szCs w:val="20"/>
              </w:rPr>
            </w:pPr>
            <w:r w:rsidRPr="00C12919">
              <w:rPr>
                <w:rFonts w:ascii="Bookman Old Style" w:hAnsi="Bookman Old Style"/>
                <w:b/>
                <w:bCs/>
                <w:sz w:val="20"/>
                <w:szCs w:val="20"/>
              </w:rPr>
              <w:t xml:space="preserve">17 </w:t>
            </w:r>
            <w:r>
              <w:rPr>
                <w:rFonts w:ascii="Bookman Old Style" w:hAnsi="Bookman Old Style"/>
                <w:sz w:val="20"/>
                <w:szCs w:val="20"/>
              </w:rPr>
              <w:t xml:space="preserve">  </w:t>
            </w:r>
            <w:r w:rsidRPr="003F383B">
              <w:rPr>
                <w:rFonts w:ascii="Bookman Old Style" w:hAnsi="Bookman Old Style" w:cs="Calibri"/>
                <w:b/>
                <w:bCs/>
                <w:color w:val="000000"/>
                <w:sz w:val="20"/>
                <w:szCs w:val="20"/>
                <w:u w:val="single"/>
                <w:lang w:eastAsia="en-IN"/>
              </w:rPr>
              <w:t>Special Provisions for Tariff for Thermal Generating Station which have Completed 25 Years of Operation from Date of Commercial Operation</w:t>
            </w:r>
          </w:p>
        </w:tc>
      </w:tr>
      <w:tr w:rsidR="00576017" w:rsidRPr="003F383B" w14:paraId="02BA2B2F" w14:textId="77777777" w:rsidTr="006C167F">
        <w:trPr>
          <w:trHeight w:val="1975"/>
        </w:trPr>
        <w:tc>
          <w:tcPr>
            <w:tcW w:w="1277" w:type="dxa"/>
          </w:tcPr>
          <w:p w14:paraId="3A984B00" w14:textId="77777777" w:rsidR="00576017" w:rsidRPr="003F383B" w:rsidRDefault="00576017" w:rsidP="00E640A1">
            <w:pPr>
              <w:contextualSpacing/>
              <w:jc w:val="both"/>
              <w:rPr>
                <w:rFonts w:ascii="Bookman Old Style" w:hAnsi="Bookman Old Style"/>
                <w:sz w:val="20"/>
                <w:szCs w:val="20"/>
              </w:rPr>
            </w:pPr>
          </w:p>
        </w:tc>
        <w:tc>
          <w:tcPr>
            <w:tcW w:w="3969" w:type="dxa"/>
          </w:tcPr>
          <w:p w14:paraId="60904D64" w14:textId="6CAA8CBF" w:rsidR="00576017" w:rsidRPr="003F383B" w:rsidRDefault="00576017" w:rsidP="00E640A1">
            <w:pPr>
              <w:adjustRightInd w:val="0"/>
              <w:jc w:val="both"/>
              <w:rPr>
                <w:rFonts w:ascii="Bookman Old Style" w:eastAsia="CIDFont+F2" w:hAnsi="Bookman Old Style" w:cs="CIDFont+F2"/>
                <w:sz w:val="20"/>
                <w:szCs w:val="20"/>
                <w:lang w:bidi="hi-IN"/>
              </w:rPr>
            </w:pPr>
            <w:r w:rsidRPr="003F383B">
              <w:rPr>
                <w:rFonts w:ascii="Bookman Old Style" w:eastAsia="CIDFont+F2" w:hAnsi="Bookman Old Style" w:cs="CIDFont+F2"/>
                <w:sz w:val="20"/>
                <w:szCs w:val="20"/>
                <w:lang w:bidi="hi-IN"/>
              </w:rPr>
              <w:t>(1) In respect</w:t>
            </w:r>
            <w:r w:rsidR="003F383B" w:rsidRPr="003F383B">
              <w:rPr>
                <w:rFonts w:ascii="Bookman Old Style" w:eastAsia="CIDFont+F2" w:hAnsi="Bookman Old Style" w:cs="CIDFont+F2"/>
                <w:sz w:val="20"/>
                <w:szCs w:val="20"/>
                <w:lang w:bidi="hi-IN"/>
              </w:rPr>
              <w:t xml:space="preserve"> </w:t>
            </w:r>
            <w:r w:rsidRPr="003F383B">
              <w:rPr>
                <w:rFonts w:ascii="Bookman Old Style" w:eastAsia="CIDFont+F2" w:hAnsi="Bookman Old Style" w:cs="CIDFont+F2"/>
                <w:sz w:val="20"/>
                <w:szCs w:val="20"/>
                <w:lang w:bidi="hi-IN"/>
              </w:rPr>
              <w:t>of a thermal generating station that has completed 25 years of operation from the date</w:t>
            </w:r>
            <w:r w:rsidR="003F383B" w:rsidRPr="003F383B">
              <w:rPr>
                <w:rFonts w:ascii="Bookman Old Style" w:eastAsia="CIDFont+F2" w:hAnsi="Bookman Old Style" w:cs="CIDFont+F2"/>
                <w:sz w:val="20"/>
                <w:szCs w:val="20"/>
                <w:lang w:bidi="hi-IN"/>
              </w:rPr>
              <w:t xml:space="preserve"> </w:t>
            </w:r>
            <w:r w:rsidRPr="003F383B">
              <w:rPr>
                <w:rFonts w:ascii="Bookman Old Style" w:eastAsia="CIDFont+F2" w:hAnsi="Bookman Old Style" w:cs="CIDFont+F2"/>
                <w:sz w:val="20"/>
                <w:szCs w:val="20"/>
                <w:lang w:bidi="hi-IN"/>
              </w:rPr>
              <w:t>of commercial operation, the generating company and the beneficiary may agree on an</w:t>
            </w:r>
          </w:p>
          <w:p w14:paraId="01E5C732" w14:textId="0397A488" w:rsidR="00576017" w:rsidRPr="003F383B" w:rsidRDefault="00576017" w:rsidP="003F383B">
            <w:pPr>
              <w:adjustRightInd w:val="0"/>
              <w:jc w:val="both"/>
              <w:rPr>
                <w:rFonts w:ascii="Bookman Old Style" w:eastAsia="CIDFont+F2" w:hAnsi="Bookman Old Style" w:cs="CIDFont+F2"/>
                <w:sz w:val="20"/>
                <w:szCs w:val="20"/>
                <w:lang w:bidi="hi-IN"/>
              </w:rPr>
            </w:pPr>
            <w:r w:rsidRPr="003F383B">
              <w:rPr>
                <w:rFonts w:ascii="Bookman Old Style" w:eastAsia="CIDFont+F2" w:hAnsi="Bookman Old Style" w:cs="CIDFont+F2"/>
                <w:sz w:val="20"/>
                <w:szCs w:val="20"/>
                <w:lang w:bidi="hi-IN"/>
              </w:rPr>
              <w:t>arrangement, including provisions for target availability and incentive, where in</w:t>
            </w:r>
            <w:r w:rsidR="003F383B" w:rsidRPr="003F383B">
              <w:rPr>
                <w:rFonts w:ascii="Bookman Old Style" w:eastAsia="CIDFont+F2" w:hAnsi="Bookman Old Style" w:cs="CIDFont+F2"/>
                <w:sz w:val="20"/>
                <w:szCs w:val="20"/>
                <w:lang w:bidi="hi-IN"/>
              </w:rPr>
              <w:t xml:space="preserve"> </w:t>
            </w:r>
            <w:r w:rsidRPr="003F383B">
              <w:rPr>
                <w:rFonts w:ascii="Bookman Old Style" w:eastAsia="CIDFont+F2" w:hAnsi="Bookman Old Style" w:cs="CIDFont+F2"/>
                <w:sz w:val="20"/>
                <w:szCs w:val="20"/>
                <w:lang w:bidi="hi-IN"/>
              </w:rPr>
              <w:t>addition to the energy charge, capacity charges determined under these regulations</w:t>
            </w:r>
            <w:r w:rsidR="003F383B" w:rsidRPr="003F383B">
              <w:rPr>
                <w:rFonts w:ascii="Bookman Old Style" w:eastAsia="CIDFont+F2" w:hAnsi="Bookman Old Style" w:cs="CIDFont+F2"/>
                <w:sz w:val="20"/>
                <w:szCs w:val="20"/>
                <w:lang w:bidi="hi-IN"/>
              </w:rPr>
              <w:t xml:space="preserve"> </w:t>
            </w:r>
            <w:r w:rsidRPr="003F383B">
              <w:rPr>
                <w:rFonts w:ascii="Bookman Old Style" w:eastAsia="CIDFont+F2" w:hAnsi="Bookman Old Style" w:cs="CIDFont+F2"/>
                <w:sz w:val="20"/>
                <w:szCs w:val="20"/>
                <w:lang w:bidi="hi-IN"/>
              </w:rPr>
              <w:t>shall also be recovered based on scheduled generation.</w:t>
            </w:r>
          </w:p>
          <w:p w14:paraId="67178255" w14:textId="77777777" w:rsidR="00576017" w:rsidRPr="003F383B" w:rsidRDefault="00576017" w:rsidP="00E640A1">
            <w:pPr>
              <w:contextualSpacing/>
              <w:jc w:val="both"/>
              <w:rPr>
                <w:rFonts w:ascii="Bookman Old Style" w:eastAsia="CIDFont+F2" w:hAnsi="Bookman Old Style" w:cs="CIDFont+F2"/>
                <w:sz w:val="20"/>
                <w:szCs w:val="20"/>
                <w:lang w:bidi="hi-IN"/>
              </w:rPr>
            </w:pPr>
          </w:p>
          <w:p w14:paraId="0BEFE76D" w14:textId="77777777" w:rsidR="00576017" w:rsidRPr="003F383B" w:rsidRDefault="00576017" w:rsidP="00E640A1">
            <w:pPr>
              <w:adjustRightInd w:val="0"/>
              <w:jc w:val="both"/>
              <w:rPr>
                <w:rFonts w:ascii="Bookman Old Style" w:eastAsia="CIDFont+F2" w:hAnsi="Bookman Old Style" w:cs="CIDFont+F2"/>
                <w:b/>
                <w:bCs/>
                <w:sz w:val="20"/>
                <w:szCs w:val="20"/>
                <w:lang w:bidi="hi-IN"/>
              </w:rPr>
            </w:pPr>
            <w:r w:rsidRPr="003F383B">
              <w:rPr>
                <w:rFonts w:ascii="Bookman Old Style" w:eastAsia="CIDFont+F2" w:hAnsi="Bookman Old Style" w:cs="CIDFont+F2"/>
                <w:sz w:val="20"/>
                <w:szCs w:val="20"/>
                <w:lang w:bidi="hi-IN"/>
              </w:rPr>
              <w:t>(</w:t>
            </w:r>
            <w:r w:rsidRPr="003F383B">
              <w:rPr>
                <w:rFonts w:ascii="Bookman Old Style" w:eastAsia="CIDFont+F2" w:hAnsi="Bookman Old Style" w:cs="CIDFont+F2"/>
                <w:b/>
                <w:bCs/>
                <w:sz w:val="20"/>
                <w:szCs w:val="20"/>
                <w:lang w:bidi="hi-IN"/>
              </w:rPr>
              <w:t xml:space="preserve">2) The beneficiary shall have the first right of refusal and upon its refusal to </w:t>
            </w:r>
            <w:proofErr w:type="gramStart"/>
            <w:r w:rsidRPr="003F383B">
              <w:rPr>
                <w:rFonts w:ascii="Bookman Old Style" w:eastAsia="CIDFont+F2" w:hAnsi="Bookman Old Style" w:cs="CIDFont+F2"/>
                <w:b/>
                <w:bCs/>
                <w:sz w:val="20"/>
                <w:szCs w:val="20"/>
                <w:lang w:bidi="hi-IN"/>
              </w:rPr>
              <w:t>enter into</w:t>
            </w:r>
            <w:proofErr w:type="gramEnd"/>
            <w:r w:rsidRPr="003F383B">
              <w:rPr>
                <w:rFonts w:ascii="Bookman Old Style" w:eastAsia="CIDFont+F2" w:hAnsi="Bookman Old Style" w:cs="CIDFont+F2"/>
                <w:b/>
                <w:bCs/>
                <w:sz w:val="20"/>
                <w:szCs w:val="20"/>
                <w:lang w:bidi="hi-IN"/>
              </w:rPr>
              <w:t xml:space="preserve"> an arrangement as above, the generating company shall be free to sell the electricity</w:t>
            </w:r>
          </w:p>
          <w:p w14:paraId="0A07999A" w14:textId="77777777" w:rsidR="00576017" w:rsidRDefault="00576017" w:rsidP="00E640A1">
            <w:pPr>
              <w:contextualSpacing/>
              <w:jc w:val="both"/>
              <w:rPr>
                <w:rFonts w:ascii="Bookman Old Style" w:eastAsia="CIDFont+F2" w:hAnsi="Bookman Old Style" w:cs="CIDFont+F2"/>
                <w:b/>
                <w:bCs/>
                <w:sz w:val="20"/>
                <w:szCs w:val="20"/>
                <w:lang w:bidi="hi-IN"/>
              </w:rPr>
            </w:pPr>
            <w:r w:rsidRPr="003F383B">
              <w:rPr>
                <w:rFonts w:ascii="Bookman Old Style" w:eastAsia="CIDFont+F2" w:hAnsi="Bookman Old Style" w:cs="CIDFont+F2"/>
                <w:b/>
                <w:bCs/>
                <w:sz w:val="20"/>
                <w:szCs w:val="20"/>
                <w:lang w:bidi="hi-IN"/>
              </w:rPr>
              <w:t>generated from such station in a manner as it deems fit</w:t>
            </w:r>
          </w:p>
          <w:p w14:paraId="6C63EC71" w14:textId="77777777" w:rsidR="00ED0387" w:rsidRDefault="00ED0387" w:rsidP="00E640A1">
            <w:pPr>
              <w:contextualSpacing/>
              <w:jc w:val="both"/>
              <w:rPr>
                <w:rFonts w:ascii="Bookman Old Style" w:eastAsia="CIDFont+F2" w:hAnsi="Bookman Old Style" w:cs="CIDFont+F2"/>
                <w:b/>
                <w:bCs/>
                <w:sz w:val="20"/>
                <w:szCs w:val="20"/>
                <w:lang w:bidi="hi-IN"/>
              </w:rPr>
            </w:pPr>
          </w:p>
          <w:p w14:paraId="5A460C9A" w14:textId="77777777" w:rsidR="00ED0387" w:rsidRDefault="00ED0387" w:rsidP="00E640A1">
            <w:pPr>
              <w:contextualSpacing/>
              <w:jc w:val="both"/>
              <w:rPr>
                <w:rFonts w:ascii="Bookman Old Style" w:eastAsia="CIDFont+F2" w:hAnsi="Bookman Old Style" w:cs="CIDFont+F2"/>
                <w:b/>
                <w:bCs/>
                <w:sz w:val="20"/>
                <w:szCs w:val="20"/>
                <w:lang w:bidi="hi-IN"/>
              </w:rPr>
            </w:pPr>
          </w:p>
          <w:p w14:paraId="0D8E0456" w14:textId="5072AC3A" w:rsidR="00ED0387" w:rsidRPr="003F383B" w:rsidRDefault="00ED0387" w:rsidP="00E640A1">
            <w:pPr>
              <w:contextualSpacing/>
              <w:jc w:val="both"/>
              <w:rPr>
                <w:rFonts w:ascii="Bookman Old Style" w:hAnsi="Bookman Old Style"/>
                <w:sz w:val="20"/>
                <w:szCs w:val="20"/>
              </w:rPr>
            </w:pPr>
          </w:p>
        </w:tc>
        <w:tc>
          <w:tcPr>
            <w:tcW w:w="5245" w:type="dxa"/>
          </w:tcPr>
          <w:p w14:paraId="1C491283" w14:textId="77777777" w:rsidR="00576017" w:rsidRPr="003F383B" w:rsidRDefault="00576017" w:rsidP="00E640A1">
            <w:pPr>
              <w:adjustRightInd w:val="0"/>
              <w:jc w:val="both"/>
              <w:rPr>
                <w:rFonts w:ascii="Bookman Old Style" w:eastAsiaTheme="minorHAnsi" w:hAnsi="Bookman Old Style"/>
                <w:color w:val="000000"/>
                <w:sz w:val="20"/>
                <w:szCs w:val="20"/>
                <w:lang w:bidi="hi-IN"/>
              </w:rPr>
            </w:pPr>
            <w:r w:rsidRPr="003F383B">
              <w:rPr>
                <w:rFonts w:ascii="Bookman Old Style" w:eastAsiaTheme="minorHAnsi" w:hAnsi="Bookman Old Style"/>
                <w:color w:val="000000"/>
                <w:sz w:val="20"/>
                <w:szCs w:val="20"/>
                <w:lang w:bidi="hi-IN"/>
              </w:rPr>
              <w:t xml:space="preserve">In respect of a thermal generating station that has completed 25 years of operation from the date of commercial operation, the generating company and the beneficiary may agree on an arrangement, including provisions for target availability and incentive, where in addition to the energy charge, capacity charges determined under these regulations shall also be recovered based on scheduled generation. </w:t>
            </w:r>
          </w:p>
          <w:p w14:paraId="3A57F911" w14:textId="77777777" w:rsidR="00576017" w:rsidRPr="003F383B" w:rsidRDefault="00576017" w:rsidP="00E640A1">
            <w:pPr>
              <w:contextualSpacing/>
              <w:jc w:val="both"/>
              <w:rPr>
                <w:rFonts w:ascii="Bookman Old Style" w:hAnsi="Bookman Old Style"/>
                <w:w w:val="115"/>
                <w:sz w:val="20"/>
                <w:szCs w:val="20"/>
              </w:rPr>
            </w:pPr>
          </w:p>
          <w:p w14:paraId="5BFAD3F8" w14:textId="77777777" w:rsidR="00576017" w:rsidRPr="003F383B" w:rsidRDefault="00576017" w:rsidP="00E640A1">
            <w:pPr>
              <w:contextualSpacing/>
              <w:jc w:val="both"/>
              <w:rPr>
                <w:rFonts w:ascii="Bookman Old Style" w:hAnsi="Bookman Old Style"/>
                <w:w w:val="115"/>
                <w:sz w:val="20"/>
                <w:szCs w:val="20"/>
              </w:rPr>
            </w:pPr>
          </w:p>
          <w:p w14:paraId="40A2C648" w14:textId="77777777" w:rsidR="00576017" w:rsidRPr="003F383B" w:rsidRDefault="00576017" w:rsidP="00E640A1">
            <w:pPr>
              <w:contextualSpacing/>
              <w:jc w:val="both"/>
              <w:rPr>
                <w:rFonts w:ascii="Bookman Old Style" w:hAnsi="Bookman Old Style"/>
                <w:w w:val="115"/>
                <w:sz w:val="20"/>
                <w:szCs w:val="20"/>
              </w:rPr>
            </w:pPr>
          </w:p>
          <w:p w14:paraId="3F9D954B" w14:textId="77777777" w:rsidR="00576017" w:rsidRPr="003F383B" w:rsidRDefault="00576017" w:rsidP="00E640A1">
            <w:pPr>
              <w:contextualSpacing/>
              <w:jc w:val="both"/>
              <w:rPr>
                <w:rFonts w:ascii="Bookman Old Style" w:hAnsi="Bookman Old Style"/>
                <w:w w:val="115"/>
                <w:sz w:val="20"/>
                <w:szCs w:val="20"/>
              </w:rPr>
            </w:pPr>
          </w:p>
          <w:p w14:paraId="1B752F9F" w14:textId="77777777" w:rsidR="00576017" w:rsidRPr="003F383B" w:rsidRDefault="00576017" w:rsidP="00E640A1">
            <w:pPr>
              <w:contextualSpacing/>
              <w:jc w:val="both"/>
              <w:rPr>
                <w:rFonts w:ascii="Bookman Old Style" w:hAnsi="Bookman Old Style"/>
                <w:w w:val="115"/>
                <w:sz w:val="20"/>
                <w:szCs w:val="20"/>
              </w:rPr>
            </w:pPr>
          </w:p>
          <w:p w14:paraId="00EFF30A" w14:textId="77777777" w:rsidR="003F383B" w:rsidRPr="003F383B" w:rsidRDefault="003F383B" w:rsidP="00E640A1">
            <w:pPr>
              <w:contextualSpacing/>
              <w:jc w:val="both"/>
              <w:rPr>
                <w:rFonts w:ascii="Bookman Old Style" w:hAnsi="Bookman Old Style"/>
                <w:b/>
                <w:bCs/>
                <w:w w:val="115"/>
                <w:sz w:val="20"/>
                <w:szCs w:val="20"/>
              </w:rPr>
            </w:pPr>
          </w:p>
          <w:p w14:paraId="3A089C50" w14:textId="77777777" w:rsidR="003F383B" w:rsidRPr="003F383B" w:rsidRDefault="003F383B" w:rsidP="00E640A1">
            <w:pPr>
              <w:contextualSpacing/>
              <w:jc w:val="both"/>
              <w:rPr>
                <w:rFonts w:ascii="Bookman Old Style" w:hAnsi="Bookman Old Style"/>
                <w:b/>
                <w:bCs/>
                <w:w w:val="115"/>
                <w:sz w:val="20"/>
                <w:szCs w:val="20"/>
              </w:rPr>
            </w:pPr>
          </w:p>
          <w:p w14:paraId="79B0A446" w14:textId="104B765E" w:rsidR="00576017" w:rsidRPr="003F383B" w:rsidRDefault="00576017" w:rsidP="00E640A1">
            <w:pPr>
              <w:contextualSpacing/>
              <w:jc w:val="both"/>
              <w:rPr>
                <w:rFonts w:ascii="Bookman Old Style" w:hAnsi="Bookman Old Style"/>
                <w:b/>
                <w:bCs/>
                <w:w w:val="115"/>
                <w:sz w:val="20"/>
                <w:szCs w:val="20"/>
              </w:rPr>
            </w:pPr>
            <w:r w:rsidRPr="003F383B">
              <w:rPr>
                <w:rFonts w:ascii="Bookman Old Style" w:hAnsi="Bookman Old Style"/>
                <w:b/>
                <w:bCs/>
                <w:w w:val="115"/>
                <w:sz w:val="20"/>
                <w:szCs w:val="20"/>
              </w:rPr>
              <w:t xml:space="preserve">Deleted </w:t>
            </w:r>
          </w:p>
        </w:tc>
        <w:tc>
          <w:tcPr>
            <w:tcW w:w="7796" w:type="dxa"/>
          </w:tcPr>
          <w:p w14:paraId="4C359AF0" w14:textId="77777777" w:rsidR="006C167F" w:rsidRPr="00B54D6B" w:rsidRDefault="006C167F" w:rsidP="006C167F">
            <w:pPr>
              <w:pStyle w:val="Default"/>
              <w:numPr>
                <w:ilvl w:val="0"/>
                <w:numId w:val="3"/>
              </w:numPr>
              <w:spacing w:line="276" w:lineRule="auto"/>
              <w:ind w:left="397" w:right="-64" w:hanging="360"/>
              <w:jc w:val="both"/>
              <w:rPr>
                <w:rFonts w:ascii="Bookman Old Style" w:hAnsi="Bookman Old Style"/>
                <w:sz w:val="22"/>
                <w:szCs w:val="22"/>
              </w:rPr>
            </w:pPr>
            <w:r w:rsidRPr="00B54D6B">
              <w:rPr>
                <w:rFonts w:ascii="Bookman Old Style" w:hAnsi="Bookman Old Style"/>
                <w:sz w:val="22"/>
                <w:szCs w:val="22"/>
              </w:rPr>
              <w:t xml:space="preserve">Regulation 17(1) enable the parties under respective PPAs, on completion of 25 years term to mutually discuss and arrive at a mutual arrangement to either continue supply /purchase of power. Therefore, the Generator has to make an offer in terms of Regulation 17(1) to the </w:t>
            </w:r>
            <w:proofErr w:type="gramStart"/>
            <w:r w:rsidRPr="00B54D6B">
              <w:rPr>
                <w:rFonts w:ascii="Bookman Old Style" w:hAnsi="Bookman Old Style"/>
                <w:sz w:val="22"/>
                <w:szCs w:val="22"/>
              </w:rPr>
              <w:t>Original</w:t>
            </w:r>
            <w:proofErr w:type="gramEnd"/>
            <w:r w:rsidRPr="00B54D6B">
              <w:rPr>
                <w:rFonts w:ascii="Bookman Old Style" w:hAnsi="Bookman Old Style"/>
                <w:sz w:val="22"/>
                <w:szCs w:val="22"/>
              </w:rPr>
              <w:t xml:space="preserve"> beneficiaries. Only when the said offer /arrangement fails, then Regulation 17 (2) provides first right of refusal to the beneficiaries/ </w:t>
            </w:r>
            <w:proofErr w:type="spellStart"/>
            <w:r w:rsidRPr="00B54D6B">
              <w:rPr>
                <w:rFonts w:ascii="Bookman Old Style" w:hAnsi="Bookman Old Style"/>
                <w:sz w:val="22"/>
                <w:szCs w:val="22"/>
              </w:rPr>
              <w:t>Discoms</w:t>
            </w:r>
            <w:proofErr w:type="spellEnd"/>
            <w:r w:rsidRPr="00B54D6B">
              <w:rPr>
                <w:rFonts w:ascii="Bookman Old Style" w:hAnsi="Bookman Old Style"/>
                <w:sz w:val="22"/>
                <w:szCs w:val="22"/>
              </w:rPr>
              <w:t xml:space="preserve"> and on such right of refusal by the </w:t>
            </w:r>
            <w:proofErr w:type="spellStart"/>
            <w:r w:rsidRPr="00B54D6B">
              <w:rPr>
                <w:rFonts w:ascii="Bookman Old Style" w:hAnsi="Bookman Old Style"/>
                <w:sz w:val="22"/>
                <w:szCs w:val="22"/>
              </w:rPr>
              <w:t>Discoms</w:t>
            </w:r>
            <w:proofErr w:type="spellEnd"/>
            <w:r w:rsidRPr="00B54D6B">
              <w:rPr>
                <w:rFonts w:ascii="Bookman Old Style" w:hAnsi="Bookman Old Style"/>
                <w:sz w:val="22"/>
                <w:szCs w:val="22"/>
              </w:rPr>
              <w:t xml:space="preserve">, the generator shall be free to sell such power in the open market as it deems fit. Thus, the said regulation safeguards rights of both generator and beneficiaries. </w:t>
            </w:r>
          </w:p>
          <w:p w14:paraId="3F85BFA8" w14:textId="77777777" w:rsidR="006C167F" w:rsidRPr="00B54D6B" w:rsidRDefault="006C167F" w:rsidP="006C167F">
            <w:pPr>
              <w:pStyle w:val="Default"/>
              <w:spacing w:line="276" w:lineRule="auto"/>
              <w:ind w:left="397" w:right="-64"/>
              <w:jc w:val="both"/>
              <w:rPr>
                <w:rFonts w:ascii="Bookman Old Style" w:hAnsi="Bookman Old Style"/>
                <w:sz w:val="22"/>
                <w:szCs w:val="22"/>
              </w:rPr>
            </w:pPr>
          </w:p>
          <w:p w14:paraId="09165B0A" w14:textId="77777777" w:rsidR="006C167F" w:rsidRPr="00B54D6B" w:rsidRDefault="006C167F" w:rsidP="006C167F">
            <w:pPr>
              <w:pStyle w:val="Default"/>
              <w:numPr>
                <w:ilvl w:val="0"/>
                <w:numId w:val="3"/>
              </w:numPr>
              <w:spacing w:line="276" w:lineRule="auto"/>
              <w:ind w:left="397" w:right="-64" w:hanging="360"/>
              <w:jc w:val="both"/>
              <w:rPr>
                <w:rFonts w:ascii="Bookman Old Style" w:hAnsi="Bookman Old Style"/>
                <w:sz w:val="22"/>
                <w:szCs w:val="22"/>
              </w:rPr>
            </w:pPr>
            <w:r w:rsidRPr="00B54D6B">
              <w:rPr>
                <w:rFonts w:ascii="Bookman Old Style" w:hAnsi="Bookman Old Style"/>
                <w:sz w:val="22"/>
                <w:szCs w:val="22"/>
              </w:rPr>
              <w:t xml:space="preserve">The Hon’ble Commission may consider the fact that beneficiaries through its end consumers have already paid towards the capital cost of the old generating stations including depreciation, servicing of debt and equity throughout its useful life. Regulation 17 provides the necessary provision for first right of refusal to beneficiaries, thereby, balancing their interest in an equitable manner since Generating Company has already recovered 90% of its capital cost </w:t>
            </w:r>
            <w:r w:rsidRPr="00B54D6B">
              <w:rPr>
                <w:rFonts w:ascii="Bookman Old Style" w:hAnsi="Bookman Old Style"/>
                <w:sz w:val="22"/>
                <w:szCs w:val="22"/>
              </w:rPr>
              <w:lastRenderedPageBreak/>
              <w:t xml:space="preserve">and remaining 10% value can be recovered through salvage value. It is also submitted that after bearing 90% of the cost of the project, the beneficiaries must have the right to decide whether to continue or to exit from a PPA after its term is over. Therefore, the proposal of omitting Regulation 17 is against the interest of the beneficiary as well as the end user of electricity </w:t>
            </w:r>
            <w:r w:rsidRPr="00B54D6B">
              <w:rPr>
                <w:rFonts w:ascii="Bookman Old Style" w:hAnsi="Bookman Old Style"/>
                <w:i/>
                <w:iCs/>
                <w:sz w:val="22"/>
                <w:szCs w:val="22"/>
              </w:rPr>
              <w:t xml:space="preserve">i.e., </w:t>
            </w:r>
            <w:r w:rsidRPr="00B54D6B">
              <w:rPr>
                <w:rFonts w:ascii="Bookman Old Style" w:hAnsi="Bookman Old Style"/>
                <w:sz w:val="22"/>
                <w:szCs w:val="22"/>
              </w:rPr>
              <w:t>consumers.</w:t>
            </w:r>
          </w:p>
          <w:p w14:paraId="39AF3B4A" w14:textId="77777777" w:rsidR="006C167F" w:rsidRPr="00B54D6B" w:rsidRDefault="006C167F" w:rsidP="006C167F">
            <w:pPr>
              <w:pStyle w:val="ListParagraph"/>
              <w:spacing w:after="0"/>
              <w:ind w:right="-64"/>
              <w:jc w:val="both"/>
              <w:rPr>
                <w:rFonts w:ascii="Bookman Old Style" w:hAnsi="Bookman Old Style"/>
              </w:rPr>
            </w:pPr>
          </w:p>
          <w:p w14:paraId="1282699E" w14:textId="77777777" w:rsidR="006C167F" w:rsidRPr="00B54D6B" w:rsidRDefault="006C167F" w:rsidP="006C167F">
            <w:pPr>
              <w:pStyle w:val="Default"/>
              <w:numPr>
                <w:ilvl w:val="0"/>
                <w:numId w:val="3"/>
              </w:numPr>
              <w:spacing w:line="276" w:lineRule="auto"/>
              <w:ind w:left="397" w:right="-64" w:hanging="426"/>
              <w:jc w:val="both"/>
              <w:rPr>
                <w:rFonts w:ascii="Bookman Old Style" w:hAnsi="Bookman Old Style"/>
                <w:sz w:val="22"/>
                <w:szCs w:val="22"/>
              </w:rPr>
            </w:pPr>
            <w:r w:rsidRPr="00B54D6B">
              <w:rPr>
                <w:rFonts w:ascii="Bookman Old Style" w:hAnsi="Bookman Old Style"/>
                <w:sz w:val="22"/>
                <w:szCs w:val="22"/>
              </w:rPr>
              <w:t xml:space="preserve">It is relevant to mention that from the date of Commercial Operation of the Station the States are liable to pay the fixed cost of the generating station irrespective of the fact whether they have availed any power or not. Further, the beneficiaries bear the entire cost of the Power Plant during its useful life and are also liable to pay the incentive for operation of the Plant above specified limit. Accordingly, it is only justifiable and equitable that the beneficiaries enjoy the benefit of reduced cost of AFC. </w:t>
            </w:r>
          </w:p>
          <w:p w14:paraId="301A7CCF" w14:textId="77777777" w:rsidR="006C167F" w:rsidRPr="00B54D6B" w:rsidRDefault="006C167F" w:rsidP="006C167F">
            <w:pPr>
              <w:pStyle w:val="Default"/>
              <w:spacing w:line="276" w:lineRule="auto"/>
              <w:ind w:left="397" w:right="-64"/>
              <w:jc w:val="both"/>
              <w:rPr>
                <w:rFonts w:ascii="Bookman Old Style" w:hAnsi="Bookman Old Style"/>
                <w:sz w:val="22"/>
                <w:szCs w:val="22"/>
              </w:rPr>
            </w:pPr>
          </w:p>
          <w:p w14:paraId="0332E3B3" w14:textId="7A9C9EEC" w:rsidR="006C167F" w:rsidRPr="00B54D6B" w:rsidRDefault="006C167F" w:rsidP="006C167F">
            <w:pPr>
              <w:pStyle w:val="Default"/>
              <w:numPr>
                <w:ilvl w:val="0"/>
                <w:numId w:val="3"/>
              </w:numPr>
              <w:spacing w:before="144" w:line="276" w:lineRule="auto"/>
              <w:ind w:left="397" w:right="-64" w:hanging="426"/>
              <w:jc w:val="both"/>
              <w:rPr>
                <w:rFonts w:ascii="Bookman Old Style" w:hAnsi="Bookman Old Style"/>
                <w:spacing w:val="-5"/>
                <w:sz w:val="22"/>
                <w:szCs w:val="22"/>
              </w:rPr>
            </w:pPr>
            <w:r w:rsidRPr="00B54D6B">
              <w:rPr>
                <w:rFonts w:ascii="Bookman Old Style" w:hAnsi="Bookman Old Style"/>
                <w:sz w:val="22"/>
                <w:szCs w:val="22"/>
              </w:rPr>
              <w:t>Hon'ble CERC in the Tariff regulation 2009-14 had introduced the option</w:t>
            </w:r>
            <w:r>
              <w:rPr>
                <w:rFonts w:ascii="Bookman Old Style" w:hAnsi="Bookman Old Style"/>
                <w:sz w:val="22"/>
                <w:szCs w:val="22"/>
              </w:rPr>
              <w:t xml:space="preserve"> </w:t>
            </w:r>
            <w:r w:rsidRPr="00B54D6B">
              <w:rPr>
                <w:rFonts w:ascii="Bookman Old Style" w:hAnsi="Bookman Old Style"/>
                <w:sz w:val="22"/>
                <w:szCs w:val="22"/>
              </w:rPr>
              <w:t xml:space="preserve">of recovery of Special Allowance by the Generator as compensation for meeting </w:t>
            </w:r>
            <w:r w:rsidRPr="00B54D6B">
              <w:rPr>
                <w:rFonts w:ascii="Bookman Old Style" w:hAnsi="Bookman Old Style"/>
                <w:spacing w:val="-2"/>
                <w:sz w:val="22"/>
                <w:szCs w:val="22"/>
              </w:rPr>
              <w:t xml:space="preserve">the requirement of expenses including renovation and modernization beyond </w:t>
            </w:r>
            <w:r w:rsidRPr="00B54D6B">
              <w:rPr>
                <w:rFonts w:ascii="Bookman Old Style" w:hAnsi="Bookman Old Style"/>
                <w:spacing w:val="-3"/>
                <w:sz w:val="22"/>
                <w:szCs w:val="22"/>
              </w:rPr>
              <w:t>the useful life of project and the same is being recovered through fixed cost.</w:t>
            </w:r>
            <w:r w:rsidRPr="00B54D6B">
              <w:rPr>
                <w:rFonts w:ascii="Bookman Old Style" w:hAnsi="Bookman Old Style"/>
                <w:spacing w:val="-4"/>
                <w:sz w:val="22"/>
                <w:szCs w:val="22"/>
              </w:rPr>
              <w:t xml:space="preserve"> Now, if the right of the beneficiary to continue receiving power from </w:t>
            </w:r>
            <w:r w:rsidRPr="00B54D6B">
              <w:rPr>
                <w:rFonts w:ascii="Bookman Old Style" w:hAnsi="Bookman Old Style"/>
                <w:spacing w:val="-5"/>
                <w:sz w:val="22"/>
                <w:szCs w:val="22"/>
              </w:rPr>
              <w:t xml:space="preserve">such project(s) is withdrawn it will have a huge implication on beneficiaries and </w:t>
            </w:r>
            <w:r w:rsidRPr="00B54D6B">
              <w:rPr>
                <w:rFonts w:ascii="Bookman Old Style" w:hAnsi="Bookman Old Style"/>
                <w:sz w:val="22"/>
                <w:szCs w:val="22"/>
              </w:rPr>
              <w:t xml:space="preserve">may lead to profiteering by the </w:t>
            </w:r>
            <w:r w:rsidRPr="00B54D6B">
              <w:rPr>
                <w:rFonts w:ascii="Bookman Old Style" w:hAnsi="Bookman Old Style"/>
                <w:spacing w:val="-2"/>
                <w:sz w:val="22"/>
                <w:szCs w:val="22"/>
              </w:rPr>
              <w:t xml:space="preserve">Generating Company by seeking additional tariff for the residual period. </w:t>
            </w:r>
          </w:p>
          <w:p w14:paraId="5255FCFA" w14:textId="0C3DE4FE" w:rsidR="006C167F" w:rsidRDefault="006C167F" w:rsidP="006C167F">
            <w:pPr>
              <w:pStyle w:val="Default"/>
              <w:numPr>
                <w:ilvl w:val="0"/>
                <w:numId w:val="3"/>
              </w:numPr>
              <w:spacing w:before="144" w:line="276" w:lineRule="auto"/>
              <w:ind w:left="397" w:right="-64" w:hanging="426"/>
              <w:jc w:val="both"/>
              <w:rPr>
                <w:rFonts w:ascii="Bookman Old Style" w:hAnsi="Bookman Old Style"/>
                <w:sz w:val="22"/>
                <w:szCs w:val="22"/>
              </w:rPr>
            </w:pPr>
            <w:r w:rsidRPr="00B54D6B">
              <w:rPr>
                <w:rFonts w:ascii="Bookman Old Style" w:hAnsi="Bookman Old Style"/>
                <w:sz w:val="22"/>
                <w:szCs w:val="22"/>
              </w:rPr>
              <w:t xml:space="preserve">Regulation 17 (2) safeguards the interests of end consumers since once the power plant has completed its 25 years term in commercial operation, then the beneficiaries cannot be compelled to pay higher tariff and bear the burden of running an old and financially unviable generating plant especially if the market offers more efficient, </w:t>
            </w:r>
            <w:r w:rsidRPr="00B54D6B">
              <w:rPr>
                <w:rFonts w:ascii="Bookman Old Style" w:hAnsi="Bookman Old Style"/>
                <w:sz w:val="22"/>
                <w:szCs w:val="22"/>
              </w:rPr>
              <w:lastRenderedPageBreak/>
              <w:t xml:space="preserve">environmentally benign, </w:t>
            </w:r>
            <w:proofErr w:type="gramStart"/>
            <w:r w:rsidRPr="00B54D6B">
              <w:rPr>
                <w:rFonts w:ascii="Bookman Old Style" w:hAnsi="Bookman Old Style"/>
                <w:sz w:val="22"/>
                <w:szCs w:val="22"/>
              </w:rPr>
              <w:t>competitive</w:t>
            </w:r>
            <w:proofErr w:type="gramEnd"/>
            <w:r w:rsidRPr="00B54D6B">
              <w:rPr>
                <w:rFonts w:ascii="Bookman Old Style" w:hAnsi="Bookman Old Style"/>
                <w:sz w:val="22"/>
                <w:szCs w:val="22"/>
              </w:rPr>
              <w:t xml:space="preserve"> and economical power. Pertinently, any special concession offered by generator to its beneficiaries will benefit the consumer at large. </w:t>
            </w:r>
          </w:p>
          <w:p w14:paraId="3D868ED5" w14:textId="77777777" w:rsidR="00F66951" w:rsidRPr="00300352" w:rsidRDefault="00F66951" w:rsidP="00F66951">
            <w:pPr>
              <w:pStyle w:val="Default"/>
              <w:spacing w:before="144" w:line="276" w:lineRule="auto"/>
              <w:ind w:left="397" w:right="-64"/>
              <w:jc w:val="both"/>
              <w:rPr>
                <w:rFonts w:ascii="Bookman Old Style" w:hAnsi="Bookman Old Style"/>
                <w:sz w:val="22"/>
                <w:szCs w:val="22"/>
              </w:rPr>
            </w:pPr>
          </w:p>
          <w:p w14:paraId="47D6F071" w14:textId="77777777" w:rsidR="006C167F" w:rsidRPr="00300352" w:rsidRDefault="006C167F" w:rsidP="006C167F">
            <w:pPr>
              <w:pStyle w:val="Default"/>
              <w:numPr>
                <w:ilvl w:val="0"/>
                <w:numId w:val="3"/>
              </w:numPr>
              <w:spacing w:line="276" w:lineRule="auto"/>
              <w:ind w:left="397" w:right="-64" w:hanging="426"/>
              <w:jc w:val="both"/>
              <w:rPr>
                <w:rFonts w:ascii="Bookman Old Style" w:hAnsi="Bookman Old Style"/>
                <w:sz w:val="22"/>
                <w:szCs w:val="22"/>
              </w:rPr>
            </w:pPr>
            <w:r w:rsidRPr="00B54D6B">
              <w:rPr>
                <w:rFonts w:ascii="Bookman Old Style" w:hAnsi="Bookman Old Style"/>
                <w:sz w:val="22"/>
                <w:szCs w:val="22"/>
              </w:rPr>
              <w:t>Regulation 17 allows/assists the generators and beneficiaries in exercising commercial decisions that are mutually beneficial with respect to procurement of power that to only after completion of term of PPA. Regulation 17 (2) is in line with section 61(d) of Electricity Act,2003, which states as unde</w:t>
            </w:r>
            <w:r>
              <w:rPr>
                <w:rFonts w:ascii="Bookman Old Style" w:hAnsi="Bookman Old Style"/>
                <w:sz w:val="22"/>
                <w:szCs w:val="22"/>
              </w:rPr>
              <w:t>r:</w:t>
            </w:r>
          </w:p>
          <w:p w14:paraId="1BD305EE" w14:textId="77777777" w:rsidR="006C167F" w:rsidRDefault="006C167F" w:rsidP="006C167F">
            <w:pPr>
              <w:adjustRightInd w:val="0"/>
              <w:ind w:left="426" w:right="-64"/>
              <w:jc w:val="both"/>
              <w:rPr>
                <w:rFonts w:ascii="Bookman Old Style" w:hAnsi="Bookman Old Style" w:cs="BookAntiqua"/>
                <w:i/>
                <w:iCs/>
                <w:lang w:bidi="hi-IN"/>
              </w:rPr>
            </w:pPr>
            <w:r w:rsidRPr="00B54D6B">
              <w:rPr>
                <w:rFonts w:ascii="Bookman Old Style" w:hAnsi="Bookman Old Style" w:cs="BookAntiqua"/>
                <w:i/>
                <w:iCs/>
                <w:lang w:bidi="hi-IN"/>
              </w:rPr>
              <w:t>“</w:t>
            </w:r>
            <w:proofErr w:type="gramStart"/>
            <w:r w:rsidRPr="00B54D6B">
              <w:rPr>
                <w:rFonts w:ascii="Bookman Old Style" w:hAnsi="Bookman Old Style" w:cs="BookAntiqua"/>
                <w:i/>
                <w:iCs/>
                <w:lang w:bidi="hi-IN"/>
              </w:rPr>
              <w:t>safeguarding</w:t>
            </w:r>
            <w:proofErr w:type="gramEnd"/>
            <w:r w:rsidRPr="00B54D6B">
              <w:rPr>
                <w:rFonts w:ascii="Bookman Old Style" w:hAnsi="Bookman Old Style" w:cs="BookAntiqua"/>
                <w:i/>
                <w:iCs/>
                <w:lang w:bidi="hi-IN"/>
              </w:rPr>
              <w:t xml:space="preserve"> of consumers' interest and at the same time, recovery of the cost of electricity in a reasonable manner;”</w:t>
            </w:r>
          </w:p>
          <w:p w14:paraId="09973E00" w14:textId="77777777" w:rsidR="006C167F" w:rsidRPr="00B54D6B" w:rsidRDefault="006C167F" w:rsidP="006C167F">
            <w:pPr>
              <w:adjustRightInd w:val="0"/>
              <w:ind w:left="426" w:right="-64"/>
              <w:jc w:val="both"/>
              <w:rPr>
                <w:rFonts w:ascii="Bookman Old Style" w:hAnsi="Bookman Old Style" w:cs="BookAntiqua"/>
                <w:i/>
                <w:iCs/>
                <w:lang w:bidi="hi-IN"/>
              </w:rPr>
            </w:pPr>
          </w:p>
          <w:p w14:paraId="0A3244DE" w14:textId="77777777" w:rsidR="006C167F" w:rsidRPr="00B54D6B" w:rsidRDefault="006C167F" w:rsidP="006C167F">
            <w:pPr>
              <w:pStyle w:val="Default"/>
              <w:numPr>
                <w:ilvl w:val="0"/>
                <w:numId w:val="3"/>
              </w:numPr>
              <w:spacing w:line="276" w:lineRule="auto"/>
              <w:ind w:left="397" w:right="-64" w:hanging="426"/>
              <w:jc w:val="both"/>
              <w:rPr>
                <w:rFonts w:ascii="Bookman Old Style" w:hAnsi="Bookman Old Style"/>
                <w:sz w:val="22"/>
                <w:szCs w:val="22"/>
              </w:rPr>
            </w:pPr>
            <w:r w:rsidRPr="00B54D6B">
              <w:rPr>
                <w:rFonts w:ascii="Bookman Old Style" w:hAnsi="Bookman Old Style"/>
                <w:sz w:val="22"/>
                <w:szCs w:val="22"/>
              </w:rPr>
              <w:t xml:space="preserve">On the other hand, it is pertinent to point out that omission of Regulations 17 is in contravention to the following clause of PPA signed between NTPC and HPPC dated 08.09.2008 for </w:t>
            </w:r>
            <w:proofErr w:type="spellStart"/>
            <w:r w:rsidRPr="00B54D6B">
              <w:rPr>
                <w:rFonts w:ascii="Bookman Old Style" w:hAnsi="Bookman Old Style"/>
                <w:sz w:val="22"/>
                <w:szCs w:val="22"/>
              </w:rPr>
              <w:t>Rihand</w:t>
            </w:r>
            <w:proofErr w:type="spellEnd"/>
            <w:r w:rsidRPr="00B54D6B">
              <w:rPr>
                <w:rFonts w:ascii="Bookman Old Style" w:hAnsi="Bookman Old Style"/>
                <w:sz w:val="22"/>
                <w:szCs w:val="22"/>
              </w:rPr>
              <w:t xml:space="preserve"> Super Thermal Power Plant Stage </w:t>
            </w:r>
            <w:proofErr w:type="gramStart"/>
            <w:r w:rsidRPr="00B54D6B">
              <w:rPr>
                <w:rFonts w:ascii="Bookman Old Style" w:hAnsi="Bookman Old Style"/>
                <w:sz w:val="22"/>
                <w:szCs w:val="22"/>
              </w:rPr>
              <w:t>III ,where</w:t>
            </w:r>
            <w:proofErr w:type="gramEnd"/>
            <w:r w:rsidRPr="00B54D6B">
              <w:rPr>
                <w:rFonts w:ascii="Bookman Old Style" w:hAnsi="Bookman Old Style"/>
                <w:sz w:val="22"/>
                <w:szCs w:val="22"/>
              </w:rPr>
              <w:t xml:space="preserve"> Haryana is one of the beneficiaries:</w:t>
            </w:r>
          </w:p>
          <w:p w14:paraId="4588BB56" w14:textId="77777777" w:rsidR="006C167F" w:rsidRPr="00B54D6B" w:rsidRDefault="006C167F" w:rsidP="006C167F">
            <w:pPr>
              <w:pStyle w:val="Default"/>
              <w:spacing w:line="276" w:lineRule="auto"/>
              <w:ind w:left="397" w:right="-64"/>
              <w:jc w:val="both"/>
              <w:rPr>
                <w:rFonts w:ascii="Bookman Old Style" w:hAnsi="Bookman Old Style"/>
                <w:sz w:val="22"/>
                <w:szCs w:val="22"/>
              </w:rPr>
            </w:pPr>
          </w:p>
          <w:p w14:paraId="29879F0C" w14:textId="77777777" w:rsidR="006C167F" w:rsidRPr="00B54D6B" w:rsidRDefault="006C167F" w:rsidP="006C167F">
            <w:pPr>
              <w:pStyle w:val="ListParagraph"/>
              <w:spacing w:line="240" w:lineRule="auto"/>
              <w:ind w:left="426" w:right="-64"/>
              <w:jc w:val="both"/>
              <w:rPr>
                <w:rFonts w:ascii="Bookman Old Style" w:hAnsi="Bookman Old Style" w:cs="Times New Roman"/>
                <w:i/>
                <w:iCs/>
                <w:color w:val="000000"/>
                <w:lang w:val="en-IN"/>
              </w:rPr>
            </w:pPr>
            <w:r w:rsidRPr="00B54D6B">
              <w:rPr>
                <w:rFonts w:ascii="Bookman Old Style" w:hAnsi="Bookman Old Style"/>
                <w:b/>
                <w:bCs/>
              </w:rPr>
              <w:t>“</w:t>
            </w:r>
            <w:r w:rsidRPr="00B54D6B">
              <w:rPr>
                <w:rFonts w:ascii="Bookman Old Style" w:hAnsi="Bookman Old Style" w:cs="Times New Roman"/>
                <w:i/>
                <w:iCs/>
                <w:color w:val="000000"/>
                <w:lang w:val="en-IN"/>
              </w:rPr>
              <w:t xml:space="preserve">11.0 EFFECTIVE DATE AND DURATION OF </w:t>
            </w:r>
            <w:proofErr w:type="gramStart"/>
            <w:r w:rsidRPr="00B54D6B">
              <w:rPr>
                <w:rFonts w:ascii="Bookman Old Style" w:hAnsi="Bookman Old Style" w:cs="Times New Roman"/>
                <w:i/>
                <w:iCs/>
                <w:color w:val="000000"/>
                <w:lang w:val="en-IN"/>
              </w:rPr>
              <w:t>AGREEMENT:-</w:t>
            </w:r>
            <w:proofErr w:type="gramEnd"/>
          </w:p>
          <w:p w14:paraId="52ED49CD" w14:textId="77777777" w:rsidR="006C167F" w:rsidRPr="00B54D6B" w:rsidRDefault="006C167F" w:rsidP="006C167F">
            <w:pPr>
              <w:pStyle w:val="ListParagraph"/>
              <w:spacing w:line="240" w:lineRule="auto"/>
              <w:ind w:left="426" w:right="-64"/>
              <w:jc w:val="both"/>
              <w:rPr>
                <w:rFonts w:ascii="Bookman Old Style" w:hAnsi="Bookman Old Style" w:cs="Times New Roman"/>
                <w:i/>
                <w:iCs/>
                <w:color w:val="000000"/>
                <w:lang w:val="en-IN"/>
              </w:rPr>
            </w:pPr>
            <w:r w:rsidRPr="00B54D6B">
              <w:rPr>
                <w:rFonts w:ascii="Bookman Old Style" w:hAnsi="Bookman Old Style" w:cs="Times New Roman"/>
                <w:i/>
                <w:iCs/>
                <w:color w:val="000000"/>
                <w:lang w:val="en-IN"/>
              </w:rPr>
              <w:t xml:space="preserve">“This agreement shall come into force from the date of signing of this agreement for all purposes and intent and shall remain operative upto completion of </w:t>
            </w:r>
            <w:proofErr w:type="gramStart"/>
            <w:r w:rsidRPr="00B54D6B">
              <w:rPr>
                <w:rFonts w:ascii="Bookman Old Style" w:hAnsi="Bookman Old Style" w:cs="Times New Roman"/>
                <w:i/>
                <w:iCs/>
                <w:color w:val="000000"/>
                <w:lang w:val="en-IN"/>
              </w:rPr>
              <w:t>twenty five</w:t>
            </w:r>
            <w:proofErr w:type="gramEnd"/>
            <w:r w:rsidRPr="00B54D6B">
              <w:rPr>
                <w:rFonts w:ascii="Bookman Old Style" w:hAnsi="Bookman Old Style" w:cs="Times New Roman"/>
                <w:i/>
                <w:iCs/>
                <w:color w:val="000000"/>
                <w:lang w:val="en-IN"/>
              </w:rPr>
              <w:t xml:space="preserve"> (25) years from the date of commercial operation of last unit of </w:t>
            </w:r>
            <w:proofErr w:type="spellStart"/>
            <w:r w:rsidRPr="00B54D6B">
              <w:rPr>
                <w:rFonts w:ascii="Bookman Old Style" w:hAnsi="Bookman Old Style" w:cs="Times New Roman"/>
                <w:i/>
                <w:iCs/>
                <w:color w:val="000000"/>
                <w:lang w:val="en-IN"/>
              </w:rPr>
              <w:t>Rihand</w:t>
            </w:r>
            <w:proofErr w:type="spellEnd"/>
            <w:r w:rsidRPr="00B54D6B">
              <w:rPr>
                <w:rFonts w:ascii="Bookman Old Style" w:hAnsi="Bookman Old Style" w:cs="Times New Roman"/>
                <w:i/>
                <w:iCs/>
                <w:color w:val="000000"/>
                <w:lang w:val="en-IN"/>
              </w:rPr>
              <w:t xml:space="preserve"> STPP Stage -III, unless it is specifically extended on mutual agreed terms. </w:t>
            </w:r>
            <w:r w:rsidRPr="00B54D6B">
              <w:rPr>
                <w:rFonts w:ascii="Bookman Old Style" w:hAnsi="Bookman Old Style" w:cs="Times New Roman"/>
                <w:b/>
                <w:bCs/>
                <w:i/>
                <w:iCs/>
                <w:color w:val="000000"/>
                <w:lang w:val="en-IN"/>
              </w:rPr>
              <w:t xml:space="preserve">However, after the </w:t>
            </w:r>
            <w:proofErr w:type="gramStart"/>
            <w:r w:rsidRPr="00B54D6B">
              <w:rPr>
                <w:rFonts w:ascii="Bookman Old Style" w:hAnsi="Bookman Old Style" w:cs="Times New Roman"/>
                <w:b/>
                <w:bCs/>
                <w:i/>
                <w:iCs/>
                <w:color w:val="000000"/>
                <w:lang w:val="en-IN"/>
              </w:rPr>
              <w:t>25 year</w:t>
            </w:r>
            <w:proofErr w:type="gramEnd"/>
            <w:r w:rsidRPr="00B54D6B">
              <w:rPr>
                <w:rFonts w:ascii="Bookman Old Style" w:hAnsi="Bookman Old Style" w:cs="Times New Roman"/>
                <w:b/>
                <w:bCs/>
                <w:i/>
                <w:iCs/>
                <w:color w:val="000000"/>
                <w:lang w:val="en-IN"/>
              </w:rPr>
              <w:t xml:space="preserve"> period, NTPC would first offer capacity to the existing customers</w:t>
            </w:r>
            <w:r w:rsidRPr="00B54D6B">
              <w:rPr>
                <w:rFonts w:ascii="Bookman Old Style" w:hAnsi="Bookman Old Style" w:cs="Times New Roman"/>
                <w:i/>
                <w:iCs/>
                <w:color w:val="000000"/>
                <w:lang w:val="en-IN"/>
              </w:rPr>
              <w:t>.</w:t>
            </w:r>
          </w:p>
          <w:p w14:paraId="74353162" w14:textId="77777777" w:rsidR="006C167F" w:rsidRPr="00B54D6B" w:rsidRDefault="006C167F" w:rsidP="006C167F">
            <w:pPr>
              <w:pStyle w:val="Default"/>
              <w:spacing w:line="276" w:lineRule="auto"/>
              <w:ind w:left="397" w:right="-64"/>
              <w:jc w:val="both"/>
              <w:rPr>
                <w:rFonts w:ascii="Bookman Old Style" w:hAnsi="Bookman Old Style"/>
                <w:sz w:val="22"/>
                <w:szCs w:val="22"/>
              </w:rPr>
            </w:pPr>
            <w:r w:rsidRPr="00B54D6B">
              <w:rPr>
                <w:rFonts w:ascii="Bookman Old Style" w:hAnsi="Bookman Old Style"/>
                <w:sz w:val="22"/>
                <w:szCs w:val="22"/>
              </w:rPr>
              <w:t xml:space="preserve">Also, HPPC has signed similar PPA with Aravali Power Company </w:t>
            </w:r>
            <w:proofErr w:type="gramStart"/>
            <w:r w:rsidRPr="00B54D6B">
              <w:rPr>
                <w:rFonts w:ascii="Bookman Old Style" w:hAnsi="Bookman Old Style"/>
                <w:sz w:val="22"/>
                <w:szCs w:val="22"/>
              </w:rPr>
              <w:t>Limited( APCPL</w:t>
            </w:r>
            <w:proofErr w:type="gramEnd"/>
            <w:r w:rsidRPr="00B54D6B">
              <w:rPr>
                <w:rFonts w:ascii="Bookman Old Style" w:hAnsi="Bookman Old Style"/>
                <w:sz w:val="22"/>
                <w:szCs w:val="22"/>
              </w:rPr>
              <w:t xml:space="preserve">) (Joint venture of NTPC and Haryana Power Generation Company Limited) for Indira Gandhi Super Thermal Power Station ( IGSTPS), which too include the ibid clause. </w:t>
            </w:r>
          </w:p>
          <w:p w14:paraId="37B47CBB" w14:textId="77777777" w:rsidR="006C167F" w:rsidRPr="00B54D6B" w:rsidRDefault="006C167F" w:rsidP="006C167F">
            <w:pPr>
              <w:pStyle w:val="Default"/>
              <w:spacing w:line="276" w:lineRule="auto"/>
              <w:ind w:left="397" w:right="-64"/>
              <w:jc w:val="both"/>
              <w:rPr>
                <w:rFonts w:ascii="Bookman Old Style" w:hAnsi="Bookman Old Style"/>
                <w:sz w:val="22"/>
                <w:szCs w:val="22"/>
              </w:rPr>
            </w:pPr>
          </w:p>
          <w:p w14:paraId="2221DCCA" w14:textId="77777777" w:rsidR="006C167F" w:rsidRPr="00B54D6B" w:rsidRDefault="006C167F" w:rsidP="006C167F">
            <w:pPr>
              <w:pStyle w:val="ListParagraph"/>
              <w:spacing w:line="240" w:lineRule="auto"/>
              <w:ind w:left="426" w:right="-64"/>
              <w:jc w:val="both"/>
              <w:rPr>
                <w:rFonts w:ascii="Bookman Old Style" w:hAnsi="Bookman Old Style" w:cs="Times New Roman"/>
                <w:i/>
                <w:iCs/>
                <w:color w:val="000000"/>
                <w:lang w:val="en-IN"/>
              </w:rPr>
            </w:pPr>
            <w:r w:rsidRPr="00B54D6B">
              <w:rPr>
                <w:rFonts w:ascii="Bookman Old Style" w:hAnsi="Bookman Old Style"/>
                <w:b/>
                <w:bCs/>
              </w:rPr>
              <w:lastRenderedPageBreak/>
              <w:t>“</w:t>
            </w:r>
            <w:r w:rsidRPr="00B54D6B">
              <w:rPr>
                <w:rFonts w:ascii="Bookman Old Style" w:hAnsi="Bookman Old Style" w:cs="Times New Roman"/>
                <w:i/>
                <w:iCs/>
                <w:color w:val="000000"/>
                <w:lang w:val="en-IN"/>
              </w:rPr>
              <w:t xml:space="preserve">11.0 EFFECTIVE DATE AND DURATION OF </w:t>
            </w:r>
            <w:proofErr w:type="gramStart"/>
            <w:r w:rsidRPr="00B54D6B">
              <w:rPr>
                <w:rFonts w:ascii="Bookman Old Style" w:hAnsi="Bookman Old Style" w:cs="Times New Roman"/>
                <w:i/>
                <w:iCs/>
                <w:color w:val="000000"/>
                <w:lang w:val="en-IN"/>
              </w:rPr>
              <w:t>AGREEMENT:-</w:t>
            </w:r>
            <w:proofErr w:type="gramEnd"/>
          </w:p>
          <w:p w14:paraId="081FF678" w14:textId="77777777" w:rsidR="006C167F" w:rsidRPr="00300352" w:rsidRDefault="006C167F" w:rsidP="006C167F">
            <w:pPr>
              <w:pStyle w:val="ListParagraph"/>
              <w:spacing w:line="240" w:lineRule="auto"/>
              <w:ind w:left="426" w:right="-64"/>
              <w:jc w:val="both"/>
              <w:rPr>
                <w:rFonts w:ascii="Bookman Old Style" w:hAnsi="Bookman Old Style" w:cs="Times New Roman"/>
                <w:i/>
                <w:iCs/>
                <w:color w:val="000000"/>
                <w:lang w:val="en-IN"/>
              </w:rPr>
            </w:pPr>
            <w:r w:rsidRPr="00B54D6B">
              <w:rPr>
                <w:rFonts w:ascii="Bookman Old Style" w:hAnsi="Bookman Old Style" w:cs="Times New Roman"/>
                <w:i/>
                <w:iCs/>
                <w:color w:val="000000"/>
                <w:lang w:val="en-IN"/>
              </w:rPr>
              <w:t xml:space="preserve">“This agreement shall come into force from the date of signing of the agreement for all purposes and intent and shall remain operative upto completion of </w:t>
            </w:r>
            <w:proofErr w:type="gramStart"/>
            <w:r w:rsidRPr="00B54D6B">
              <w:rPr>
                <w:rFonts w:ascii="Bookman Old Style" w:hAnsi="Bookman Old Style" w:cs="Times New Roman"/>
                <w:i/>
                <w:iCs/>
                <w:color w:val="000000"/>
                <w:lang w:val="en-IN"/>
              </w:rPr>
              <w:t>twenty five</w:t>
            </w:r>
            <w:proofErr w:type="gramEnd"/>
            <w:r w:rsidRPr="00B54D6B">
              <w:rPr>
                <w:rFonts w:ascii="Bookman Old Style" w:hAnsi="Bookman Old Style" w:cs="Times New Roman"/>
                <w:i/>
                <w:iCs/>
                <w:color w:val="000000"/>
                <w:lang w:val="en-IN"/>
              </w:rPr>
              <w:t xml:space="preserve"> (25) years from the date of commercial operation of last unit of station, unless it is specifically extended on mutual agreed terms. </w:t>
            </w:r>
            <w:r w:rsidRPr="00B54D6B">
              <w:rPr>
                <w:rFonts w:ascii="Bookman Old Style" w:hAnsi="Bookman Old Style" w:cs="Times New Roman"/>
                <w:b/>
                <w:bCs/>
                <w:i/>
                <w:iCs/>
                <w:color w:val="000000"/>
                <w:lang w:val="en-IN"/>
              </w:rPr>
              <w:t xml:space="preserve">Beyond the 25 years period, APCPL would first offer capacity to the existing beneficiaries and the existing beneficiaries would have the first option of refusal of this capacity. </w:t>
            </w:r>
          </w:p>
          <w:p w14:paraId="4D3F1F34" w14:textId="77777777" w:rsidR="006C167F" w:rsidRDefault="006C167F" w:rsidP="006C167F">
            <w:pPr>
              <w:pStyle w:val="Default"/>
              <w:numPr>
                <w:ilvl w:val="0"/>
                <w:numId w:val="3"/>
              </w:numPr>
              <w:spacing w:before="320" w:line="276" w:lineRule="auto"/>
              <w:ind w:left="397" w:right="-64" w:hanging="426"/>
              <w:jc w:val="both"/>
              <w:rPr>
                <w:rFonts w:ascii="Bookman Old Style" w:hAnsi="Bookman Old Style"/>
                <w:sz w:val="22"/>
                <w:szCs w:val="22"/>
              </w:rPr>
            </w:pPr>
            <w:r w:rsidRPr="00B54D6B">
              <w:rPr>
                <w:rFonts w:ascii="Bookman Old Style" w:hAnsi="Bookman Old Style"/>
                <w:sz w:val="22"/>
                <w:szCs w:val="22"/>
              </w:rPr>
              <w:t>MOP vide letter dated 20.4.2023 had introduced scheme for Pooling of Tariff of those plants whose PPAs have expired to create Genco-wise common pools and uniform capacity charges. Subsequently, MOP vide letter dated 11.9.2023 has also clarified that guidelines issued by Ministry vide letters dated 22.3.2021 and 5.7.2021</w:t>
            </w:r>
            <w:proofErr w:type="gramStart"/>
            <w:r w:rsidRPr="00B54D6B">
              <w:rPr>
                <w:rFonts w:ascii="Bookman Old Style" w:hAnsi="Bookman Old Style"/>
                <w:sz w:val="22"/>
                <w:szCs w:val="22"/>
              </w:rPr>
              <w:t>( enabling</w:t>
            </w:r>
            <w:proofErr w:type="gramEnd"/>
            <w:r w:rsidRPr="00B54D6B">
              <w:rPr>
                <w:rFonts w:ascii="Bookman Old Style" w:hAnsi="Bookman Old Style"/>
                <w:sz w:val="22"/>
                <w:szCs w:val="22"/>
              </w:rPr>
              <w:t xml:space="preserve"> DISCOMs to exit the PPA after completion of its life) stands superseded subsequent to issuance of pooling scheme dated 20.4.2023. However, it may also be noted that MP </w:t>
            </w:r>
            <w:proofErr w:type="spellStart"/>
            <w:r w:rsidRPr="00B54D6B">
              <w:rPr>
                <w:rFonts w:ascii="Bookman Old Style" w:hAnsi="Bookman Old Style"/>
                <w:sz w:val="22"/>
                <w:szCs w:val="22"/>
              </w:rPr>
              <w:t>Discoms</w:t>
            </w:r>
            <w:proofErr w:type="spellEnd"/>
            <w:r w:rsidRPr="00B54D6B">
              <w:rPr>
                <w:rFonts w:ascii="Bookman Old Style" w:hAnsi="Bookman Old Style"/>
                <w:sz w:val="22"/>
                <w:szCs w:val="22"/>
              </w:rPr>
              <w:t xml:space="preserve"> have challenged the </w:t>
            </w:r>
            <w:proofErr w:type="spellStart"/>
            <w:r w:rsidRPr="00B54D6B">
              <w:rPr>
                <w:rFonts w:ascii="Bookman Old Style" w:hAnsi="Bookman Old Style"/>
                <w:sz w:val="22"/>
                <w:szCs w:val="22"/>
              </w:rPr>
              <w:t>MoP</w:t>
            </w:r>
            <w:proofErr w:type="spellEnd"/>
            <w:r w:rsidRPr="00B54D6B">
              <w:rPr>
                <w:rFonts w:ascii="Bookman Old Style" w:hAnsi="Bookman Old Style"/>
                <w:sz w:val="22"/>
                <w:szCs w:val="22"/>
              </w:rPr>
              <w:t xml:space="preserve"> Pooling scheme in Hon’ble Delhi High Court and the matter is pending for adjudication. Hon’ble CERC is proposing to amend the 2019 Tariff Regulations and omit Regulation 17 for implementation of the Scheme for Pooling of Tariff, that is under challenge before the Hon’ble Delhi High Court in W.P. (C) No. 8653/2023, but the same has not been mentioned in the explanatory memorandum. </w:t>
            </w:r>
          </w:p>
          <w:p w14:paraId="099CDDEB" w14:textId="77777777" w:rsidR="006C167F" w:rsidRDefault="006C167F" w:rsidP="006C167F">
            <w:pPr>
              <w:pStyle w:val="Default"/>
              <w:spacing w:before="320" w:line="276" w:lineRule="auto"/>
              <w:ind w:left="397" w:right="-64"/>
              <w:jc w:val="both"/>
              <w:rPr>
                <w:rFonts w:ascii="Bookman Old Style" w:hAnsi="Bookman Old Style"/>
                <w:sz w:val="22"/>
                <w:szCs w:val="22"/>
              </w:rPr>
            </w:pPr>
          </w:p>
          <w:p w14:paraId="61FA338C" w14:textId="31E39C2D" w:rsidR="006C167F" w:rsidRDefault="006C167F" w:rsidP="006C167F">
            <w:pPr>
              <w:pStyle w:val="Default"/>
              <w:numPr>
                <w:ilvl w:val="0"/>
                <w:numId w:val="3"/>
              </w:numPr>
              <w:spacing w:line="276" w:lineRule="auto"/>
              <w:ind w:left="397" w:right="-64" w:hanging="426"/>
              <w:jc w:val="both"/>
              <w:rPr>
                <w:rFonts w:ascii="Bookman Old Style" w:hAnsi="Bookman Old Style"/>
                <w:sz w:val="22"/>
                <w:szCs w:val="22"/>
              </w:rPr>
            </w:pPr>
            <w:r w:rsidRPr="00B54D6B">
              <w:rPr>
                <w:rFonts w:ascii="Bookman Old Style" w:hAnsi="Bookman Old Style"/>
                <w:sz w:val="22"/>
                <w:szCs w:val="22"/>
              </w:rPr>
              <w:t xml:space="preserve">It is submitted that </w:t>
            </w:r>
            <w:r w:rsidR="00897CA8" w:rsidRPr="00B54D6B">
              <w:rPr>
                <w:rFonts w:ascii="Bookman Old Style" w:hAnsi="Bookman Old Style"/>
                <w:sz w:val="22"/>
                <w:szCs w:val="22"/>
              </w:rPr>
              <w:t xml:space="preserve">Tariff </w:t>
            </w:r>
            <w:proofErr w:type="gramStart"/>
            <w:r w:rsidR="00897CA8">
              <w:rPr>
                <w:rFonts w:ascii="Bookman Old Style" w:hAnsi="Bookman Old Style"/>
                <w:sz w:val="22"/>
                <w:szCs w:val="22"/>
              </w:rPr>
              <w:t>Regulations</w:t>
            </w:r>
            <w:r w:rsidRPr="00B54D6B">
              <w:rPr>
                <w:rFonts w:ascii="Bookman Old Style" w:hAnsi="Bookman Old Style"/>
                <w:sz w:val="22"/>
                <w:szCs w:val="22"/>
              </w:rPr>
              <w:t xml:space="preserve"> </w:t>
            </w:r>
            <w:r>
              <w:rPr>
                <w:rFonts w:ascii="Bookman Old Style" w:hAnsi="Bookman Old Style"/>
                <w:sz w:val="22"/>
                <w:szCs w:val="22"/>
              </w:rPr>
              <w:t xml:space="preserve"> </w:t>
            </w:r>
            <w:r w:rsidRPr="00B54D6B">
              <w:rPr>
                <w:rFonts w:ascii="Bookman Old Style" w:hAnsi="Bookman Old Style"/>
                <w:sz w:val="22"/>
                <w:szCs w:val="22"/>
              </w:rPr>
              <w:t>2019</w:t>
            </w:r>
            <w:proofErr w:type="gramEnd"/>
            <w:r>
              <w:rPr>
                <w:rFonts w:ascii="Bookman Old Style" w:hAnsi="Bookman Old Style"/>
                <w:sz w:val="22"/>
                <w:szCs w:val="22"/>
              </w:rPr>
              <w:t xml:space="preserve"> should not be amended by omitting Regulation 17. The provisions contained in Regulation 17 of Tariff Regulations 2019 be kept in all the Tariff Regulations to be enacted for control period </w:t>
            </w:r>
            <w:proofErr w:type="gramStart"/>
            <w:r>
              <w:rPr>
                <w:rFonts w:ascii="Bookman Old Style" w:hAnsi="Bookman Old Style"/>
                <w:sz w:val="22"/>
                <w:szCs w:val="22"/>
              </w:rPr>
              <w:t>beyond  year</w:t>
            </w:r>
            <w:proofErr w:type="gramEnd"/>
            <w:r>
              <w:rPr>
                <w:rFonts w:ascii="Bookman Old Style" w:hAnsi="Bookman Old Style"/>
                <w:sz w:val="22"/>
                <w:szCs w:val="22"/>
              </w:rPr>
              <w:t xml:space="preserve"> 2024 as well.</w:t>
            </w:r>
          </w:p>
          <w:p w14:paraId="56985E05" w14:textId="77777777" w:rsidR="006C167F" w:rsidRDefault="006C167F" w:rsidP="006C167F">
            <w:pPr>
              <w:pStyle w:val="ListParagraph"/>
              <w:rPr>
                <w:rFonts w:ascii="Bookman Old Style" w:hAnsi="Bookman Old Style"/>
              </w:rPr>
            </w:pPr>
          </w:p>
          <w:p w14:paraId="2E5BCFB1" w14:textId="77777777" w:rsidR="006C167F" w:rsidRPr="00EF59DD" w:rsidRDefault="006C167F" w:rsidP="006C167F">
            <w:pPr>
              <w:pStyle w:val="Default"/>
              <w:numPr>
                <w:ilvl w:val="0"/>
                <w:numId w:val="3"/>
              </w:numPr>
              <w:spacing w:line="276" w:lineRule="auto"/>
              <w:ind w:left="397" w:right="-64" w:hanging="426"/>
              <w:jc w:val="both"/>
              <w:rPr>
                <w:rFonts w:ascii="Bookman Old Style" w:hAnsi="Bookman Old Style"/>
                <w:sz w:val="22"/>
                <w:szCs w:val="22"/>
              </w:rPr>
            </w:pPr>
            <w:r w:rsidRPr="00EF59DD">
              <w:rPr>
                <w:rFonts w:ascii="Bookman Old Style" w:hAnsi="Bookman Old Style"/>
                <w:sz w:val="22"/>
                <w:szCs w:val="22"/>
              </w:rPr>
              <w:t>In terms of above, it can be concluded that Regulation 17 of the Principal Regulations is in consumer interest and omitting the said regulation will act in favour of the generators at large and will put an additional burden to consumer at large in the form of fixed charges towards the share of allocated power. Accordingly, the said regulation needs to be retained as it is. Also, PPAs where Generator has offered the power availability to the beneficiaries even after completion of PPA will hold good irrespective of the Regulation.</w:t>
            </w:r>
          </w:p>
          <w:p w14:paraId="6F1C90F0" w14:textId="64612B42" w:rsidR="00576017" w:rsidRPr="003F383B" w:rsidRDefault="006C167F" w:rsidP="006C167F">
            <w:pPr>
              <w:contextualSpacing/>
              <w:jc w:val="both"/>
              <w:rPr>
                <w:rFonts w:ascii="Bookman Old Style" w:hAnsi="Bookman Old Style"/>
                <w:spacing w:val="-2"/>
                <w:w w:val="110"/>
                <w:sz w:val="20"/>
                <w:szCs w:val="20"/>
              </w:rPr>
            </w:pPr>
            <w:r>
              <w:rPr>
                <w:rFonts w:ascii="Bookman Old Style" w:hAnsi="Bookman Old Style"/>
                <w:w w:val="110"/>
              </w:rPr>
              <w:t xml:space="preserve">     </w:t>
            </w:r>
            <w:r w:rsidR="00576017" w:rsidRPr="006C167F">
              <w:rPr>
                <w:rFonts w:ascii="Bookman Old Style" w:hAnsi="Bookman Old Style"/>
                <w:w w:val="110"/>
              </w:rPr>
              <w:t xml:space="preserve">Hence, the existing </w:t>
            </w:r>
            <w:r w:rsidRPr="006C167F">
              <w:rPr>
                <w:rFonts w:ascii="Bookman Old Style" w:hAnsi="Bookman Old Style"/>
                <w:w w:val="110"/>
              </w:rPr>
              <w:t>Regulation</w:t>
            </w:r>
            <w:r w:rsidR="00576017" w:rsidRPr="006C167F">
              <w:rPr>
                <w:rFonts w:ascii="Bookman Old Style" w:hAnsi="Bookman Old Style"/>
                <w:w w:val="110"/>
              </w:rPr>
              <w:t xml:space="preserve"> may be retained.</w:t>
            </w:r>
          </w:p>
        </w:tc>
      </w:tr>
      <w:tr w:rsidR="006F46E5" w:rsidRPr="003F383B" w14:paraId="439D3C70" w14:textId="77777777" w:rsidTr="00ED0387">
        <w:trPr>
          <w:trHeight w:val="558"/>
        </w:trPr>
        <w:tc>
          <w:tcPr>
            <w:tcW w:w="18287" w:type="dxa"/>
            <w:gridSpan w:val="4"/>
          </w:tcPr>
          <w:p w14:paraId="0CEC57A3" w14:textId="5E71ACCE" w:rsidR="006F46E5" w:rsidRPr="006F46E5" w:rsidRDefault="006F46E5" w:rsidP="00ED0387">
            <w:pPr>
              <w:adjustRightInd w:val="0"/>
              <w:jc w:val="center"/>
              <w:rPr>
                <w:rFonts w:ascii="Bookman Old Style" w:eastAsiaTheme="minorHAnsi" w:hAnsi="Bookman Old Style"/>
                <w:color w:val="000000"/>
                <w:sz w:val="20"/>
                <w:szCs w:val="20"/>
                <w:lang w:bidi="hi-IN"/>
              </w:rPr>
            </w:pPr>
            <w:r w:rsidRPr="006F46E5">
              <w:rPr>
                <w:rFonts w:ascii="Bookman Old Style" w:eastAsiaTheme="minorHAnsi" w:hAnsi="Bookman Old Style"/>
                <w:b/>
                <w:bCs/>
                <w:color w:val="000000"/>
                <w:sz w:val="20"/>
                <w:szCs w:val="20"/>
                <w:lang w:bidi="hi-IN"/>
              </w:rPr>
              <w:lastRenderedPageBreak/>
              <w:t>CHAPTER – 11</w:t>
            </w:r>
          </w:p>
          <w:p w14:paraId="45CC2466" w14:textId="70FC99F9" w:rsidR="006F46E5" w:rsidRPr="006F46E5" w:rsidRDefault="006F46E5" w:rsidP="00ED0387">
            <w:pPr>
              <w:adjustRightInd w:val="0"/>
              <w:jc w:val="center"/>
              <w:rPr>
                <w:rFonts w:ascii="Bookman Old Style" w:eastAsiaTheme="minorHAnsi" w:hAnsi="Bookman Old Style"/>
                <w:color w:val="000000"/>
                <w:sz w:val="20"/>
                <w:szCs w:val="20"/>
                <w:lang w:bidi="hi-IN"/>
              </w:rPr>
            </w:pPr>
            <w:r w:rsidRPr="006F46E5">
              <w:rPr>
                <w:rFonts w:ascii="Bookman Old Style" w:eastAsiaTheme="minorHAnsi" w:hAnsi="Bookman Old Style"/>
                <w:b/>
                <w:bCs/>
                <w:color w:val="000000"/>
                <w:sz w:val="20"/>
                <w:szCs w:val="20"/>
                <w:lang w:val="en-IN" w:bidi="hi-IN"/>
              </w:rPr>
              <w:t>COMPUTATION OF CAPACITY CHARGES AND ENERGY CHARGES</w:t>
            </w:r>
          </w:p>
        </w:tc>
      </w:tr>
      <w:tr w:rsidR="006F46E5" w:rsidRPr="003F383B" w14:paraId="70223BD9" w14:textId="77777777" w:rsidTr="00ED0387">
        <w:trPr>
          <w:trHeight w:val="268"/>
        </w:trPr>
        <w:tc>
          <w:tcPr>
            <w:tcW w:w="18287" w:type="dxa"/>
            <w:gridSpan w:val="4"/>
          </w:tcPr>
          <w:p w14:paraId="35AEDB2D" w14:textId="7C379EE2" w:rsidR="006F46E5" w:rsidRPr="0061000A" w:rsidRDefault="00ED0387" w:rsidP="0061000A">
            <w:pPr>
              <w:adjustRightInd w:val="0"/>
              <w:rPr>
                <w:rFonts w:ascii="Bookman Old Style" w:eastAsiaTheme="minorHAnsi" w:hAnsi="Bookman Old Style"/>
                <w:color w:val="000000"/>
                <w:sz w:val="20"/>
                <w:szCs w:val="20"/>
                <w:lang w:bidi="hi-IN"/>
              </w:rPr>
            </w:pPr>
            <w:r w:rsidRPr="00ED0387">
              <w:rPr>
                <w:rFonts w:ascii="Bookman Old Style" w:hAnsi="Bookman Old Style"/>
                <w:b/>
                <w:bCs/>
                <w:sz w:val="20"/>
                <w:szCs w:val="20"/>
              </w:rPr>
              <w:t xml:space="preserve">65 </w:t>
            </w:r>
            <w:proofErr w:type="gramStart"/>
            <w:r w:rsidRPr="00ED0387">
              <w:rPr>
                <w:rFonts w:ascii="Bookman Old Style" w:hAnsi="Bookman Old Style"/>
                <w:b/>
                <w:bCs/>
                <w:sz w:val="20"/>
                <w:szCs w:val="20"/>
              </w:rPr>
              <w:t>( 10</w:t>
            </w:r>
            <w:proofErr w:type="gramEnd"/>
            <w:r w:rsidRPr="00ED0387">
              <w:rPr>
                <w:rFonts w:ascii="Bookman Old Style" w:hAnsi="Bookman Old Style"/>
                <w:b/>
                <w:bCs/>
                <w:sz w:val="20"/>
                <w:szCs w:val="20"/>
              </w:rPr>
              <w:t>)</w:t>
            </w:r>
            <w:r>
              <w:rPr>
                <w:rFonts w:ascii="Bookman Old Style" w:hAnsi="Bookman Old Style"/>
                <w:sz w:val="20"/>
                <w:szCs w:val="20"/>
              </w:rPr>
              <w:t xml:space="preserve"> </w:t>
            </w:r>
            <w:r w:rsidR="006F46E5" w:rsidRPr="0061000A">
              <w:rPr>
                <w:rFonts w:ascii="Bookman Old Style" w:eastAsiaTheme="minorHAnsi" w:hAnsi="Bookman Old Style"/>
                <w:b/>
                <w:bCs/>
                <w:color w:val="000000"/>
                <w:sz w:val="20"/>
                <w:szCs w:val="20"/>
                <w:lang w:bidi="hi-IN"/>
              </w:rPr>
              <w:t xml:space="preserve">Computation and Payment of Capacity Charge and Energy Charge for Hydro Generating Stations: </w:t>
            </w:r>
          </w:p>
          <w:p w14:paraId="6907ED29" w14:textId="77777777" w:rsidR="006F46E5" w:rsidRPr="006F46E5" w:rsidRDefault="006F46E5" w:rsidP="00F17BFD">
            <w:pPr>
              <w:ind w:right="61" w:firstLine="31"/>
              <w:contextualSpacing/>
              <w:jc w:val="both"/>
              <w:rPr>
                <w:rFonts w:ascii="Bookman Old Style" w:eastAsiaTheme="minorHAnsi" w:hAnsi="Bookman Old Style"/>
                <w:color w:val="000000"/>
                <w:sz w:val="20"/>
                <w:szCs w:val="20"/>
                <w:lang w:bidi="hi-IN"/>
              </w:rPr>
            </w:pPr>
          </w:p>
        </w:tc>
      </w:tr>
      <w:tr w:rsidR="00F17BFD" w:rsidRPr="003F383B" w14:paraId="7FDDF767" w14:textId="77777777" w:rsidTr="006C167F">
        <w:trPr>
          <w:trHeight w:val="2698"/>
        </w:trPr>
        <w:tc>
          <w:tcPr>
            <w:tcW w:w="1277" w:type="dxa"/>
          </w:tcPr>
          <w:p w14:paraId="6CE14140" w14:textId="61748169" w:rsidR="00F17BFD" w:rsidRPr="003F383B" w:rsidRDefault="00F17BFD" w:rsidP="00E640A1">
            <w:pPr>
              <w:contextualSpacing/>
              <w:jc w:val="both"/>
              <w:rPr>
                <w:rFonts w:ascii="Bookman Old Style" w:hAnsi="Bookman Old Style"/>
                <w:sz w:val="20"/>
                <w:szCs w:val="20"/>
              </w:rPr>
            </w:pPr>
          </w:p>
        </w:tc>
        <w:tc>
          <w:tcPr>
            <w:tcW w:w="3969" w:type="dxa"/>
          </w:tcPr>
          <w:p w14:paraId="18911549" w14:textId="77777777" w:rsidR="00F17BFD" w:rsidRPr="003F383B" w:rsidRDefault="00F17BFD" w:rsidP="00E640A1">
            <w:pPr>
              <w:adjustRightInd w:val="0"/>
              <w:jc w:val="both"/>
              <w:rPr>
                <w:rFonts w:ascii="Bookman Old Style" w:eastAsia="CIDFont+F2" w:hAnsi="Bookman Old Style" w:cs="CIDFont+F2"/>
                <w:sz w:val="20"/>
                <w:szCs w:val="20"/>
                <w:lang w:bidi="hi-IN"/>
              </w:rPr>
            </w:pPr>
          </w:p>
        </w:tc>
        <w:tc>
          <w:tcPr>
            <w:tcW w:w="5245" w:type="dxa"/>
          </w:tcPr>
          <w:p w14:paraId="4805C10C" w14:textId="77777777" w:rsidR="00F17BFD" w:rsidRDefault="00F17BFD" w:rsidP="00E640A1">
            <w:pPr>
              <w:adjustRightInd w:val="0"/>
              <w:jc w:val="both"/>
              <w:rPr>
                <w:rFonts w:ascii="Times New Roman" w:eastAsiaTheme="minorHAnsi" w:hAnsi="Times New Roman"/>
                <w:color w:val="000000"/>
                <w:sz w:val="23"/>
                <w:szCs w:val="23"/>
                <w:lang w:bidi="hi-IN"/>
              </w:rPr>
            </w:pPr>
            <w:r w:rsidRPr="005F7BE2">
              <w:rPr>
                <w:rFonts w:ascii="Times New Roman" w:eastAsiaTheme="minorHAnsi" w:hAnsi="Times New Roman"/>
                <w:color w:val="000000"/>
                <w:sz w:val="23"/>
                <w:szCs w:val="23"/>
                <w:lang w:bidi="hi-IN"/>
              </w:rPr>
              <w:t xml:space="preserve">In addition to the above, an incentive shall be payable to a ROR Hydro generating station @ 50 paise/ kWh corresponding to the saleable scheduled energy during peak hours of the day </w:t>
            </w:r>
            <w:proofErr w:type="gramStart"/>
            <w:r w:rsidRPr="005F7BE2">
              <w:rPr>
                <w:rFonts w:ascii="Times New Roman" w:eastAsiaTheme="minorHAnsi" w:hAnsi="Times New Roman"/>
                <w:color w:val="000000"/>
                <w:sz w:val="23"/>
                <w:szCs w:val="23"/>
                <w:lang w:bidi="hi-IN"/>
              </w:rPr>
              <w:t>in excess of</w:t>
            </w:r>
            <w:proofErr w:type="gramEnd"/>
            <w:r w:rsidRPr="005F7BE2">
              <w:rPr>
                <w:rFonts w:ascii="Times New Roman" w:eastAsiaTheme="minorHAnsi" w:hAnsi="Times New Roman"/>
                <w:color w:val="000000"/>
                <w:sz w:val="23"/>
                <w:szCs w:val="23"/>
                <w:lang w:bidi="hi-IN"/>
              </w:rPr>
              <w:t xml:space="preserve"> average saleable scheduled energy during the day (24 hours).</w:t>
            </w:r>
            <w:r>
              <w:rPr>
                <w:rFonts w:ascii="Times New Roman" w:eastAsiaTheme="minorHAnsi" w:hAnsi="Times New Roman"/>
                <w:color w:val="000000"/>
                <w:sz w:val="23"/>
                <w:szCs w:val="23"/>
                <w:lang w:bidi="hi-IN"/>
              </w:rPr>
              <w:t xml:space="preserve"> </w:t>
            </w:r>
          </w:p>
          <w:p w14:paraId="10EA4DB1" w14:textId="6FD48BD8" w:rsidR="00F17BFD" w:rsidRPr="00F17BFD" w:rsidRDefault="00F17BFD" w:rsidP="00E640A1">
            <w:pPr>
              <w:adjustRightInd w:val="0"/>
              <w:jc w:val="both"/>
              <w:rPr>
                <w:rFonts w:ascii="Bookman Old Style" w:eastAsiaTheme="minorHAnsi" w:hAnsi="Bookman Old Style"/>
                <w:b/>
                <w:bCs/>
                <w:color w:val="000000"/>
                <w:sz w:val="20"/>
                <w:szCs w:val="20"/>
                <w:lang w:bidi="hi-IN"/>
              </w:rPr>
            </w:pPr>
            <w:proofErr w:type="gramStart"/>
            <w:r w:rsidRPr="00F17BFD">
              <w:rPr>
                <w:rFonts w:ascii="Times New Roman" w:eastAsiaTheme="minorHAnsi" w:hAnsi="Times New Roman"/>
                <w:b/>
                <w:bCs/>
                <w:color w:val="000000"/>
                <w:sz w:val="23"/>
                <w:szCs w:val="23"/>
                <w:lang w:bidi="hi-IN"/>
              </w:rPr>
              <w:t>( ADDED</w:t>
            </w:r>
            <w:proofErr w:type="gramEnd"/>
            <w:r w:rsidRPr="00F17BFD">
              <w:rPr>
                <w:rFonts w:ascii="Times New Roman" w:eastAsiaTheme="minorHAnsi" w:hAnsi="Times New Roman"/>
                <w:b/>
                <w:bCs/>
                <w:color w:val="000000"/>
                <w:sz w:val="23"/>
                <w:szCs w:val="23"/>
                <w:lang w:bidi="hi-IN"/>
              </w:rPr>
              <w:t>)</w:t>
            </w:r>
          </w:p>
        </w:tc>
        <w:tc>
          <w:tcPr>
            <w:tcW w:w="7796" w:type="dxa"/>
          </w:tcPr>
          <w:p w14:paraId="2E857E59" w14:textId="5D26AE26" w:rsidR="00F17BFD" w:rsidRDefault="00F17BFD" w:rsidP="00F17BFD">
            <w:pPr>
              <w:ind w:right="61" w:firstLine="31"/>
              <w:contextualSpacing/>
              <w:jc w:val="both"/>
              <w:rPr>
                <w:rFonts w:ascii="Times New Roman" w:eastAsiaTheme="minorHAnsi" w:hAnsi="Times New Roman"/>
                <w:color w:val="000000"/>
                <w:sz w:val="23"/>
                <w:szCs w:val="23"/>
                <w:lang w:bidi="hi-IN"/>
              </w:rPr>
            </w:pPr>
            <w:r>
              <w:rPr>
                <w:rFonts w:ascii="Times New Roman" w:eastAsiaTheme="minorHAnsi" w:hAnsi="Times New Roman"/>
                <w:color w:val="000000"/>
                <w:sz w:val="23"/>
                <w:szCs w:val="23"/>
                <w:lang w:bidi="hi-IN"/>
              </w:rPr>
              <w:t xml:space="preserve">The provision of </w:t>
            </w:r>
            <w:r w:rsidR="00930BAF">
              <w:rPr>
                <w:rFonts w:ascii="Times New Roman" w:eastAsiaTheme="minorHAnsi" w:hAnsi="Times New Roman"/>
                <w:color w:val="000000"/>
                <w:sz w:val="23"/>
                <w:szCs w:val="23"/>
                <w:lang w:bidi="hi-IN"/>
              </w:rPr>
              <w:t xml:space="preserve">incentive </w:t>
            </w:r>
            <w:r w:rsidR="00930BAF" w:rsidRPr="005F7BE2">
              <w:rPr>
                <w:rFonts w:ascii="Times New Roman" w:eastAsiaTheme="minorHAnsi" w:hAnsi="Times New Roman"/>
                <w:color w:val="000000"/>
                <w:sz w:val="23"/>
                <w:szCs w:val="23"/>
                <w:lang w:bidi="hi-IN"/>
              </w:rPr>
              <w:t>payable</w:t>
            </w:r>
            <w:r w:rsidRPr="005F7BE2">
              <w:rPr>
                <w:rFonts w:ascii="Times New Roman" w:eastAsiaTheme="minorHAnsi" w:hAnsi="Times New Roman"/>
                <w:color w:val="000000"/>
                <w:sz w:val="23"/>
                <w:szCs w:val="23"/>
                <w:lang w:bidi="hi-IN"/>
              </w:rPr>
              <w:t xml:space="preserve"> to a ROR Hydro generating station @ 50 paise/ kWh corresponding to the saleable scheduled energy during peak hours of the day in excess of average saleable scheduled energy during the day (24 hours)</w:t>
            </w:r>
            <w:r>
              <w:rPr>
                <w:rFonts w:ascii="Times New Roman" w:eastAsiaTheme="minorHAnsi" w:hAnsi="Times New Roman"/>
                <w:color w:val="000000"/>
                <w:sz w:val="23"/>
                <w:szCs w:val="23"/>
                <w:lang w:bidi="hi-IN"/>
              </w:rPr>
              <w:t xml:space="preserve"> is </w:t>
            </w:r>
            <w:proofErr w:type="gramStart"/>
            <w:r>
              <w:rPr>
                <w:rFonts w:ascii="Times New Roman" w:eastAsiaTheme="minorHAnsi" w:hAnsi="Times New Roman"/>
                <w:color w:val="000000"/>
                <w:sz w:val="23"/>
                <w:szCs w:val="23"/>
                <w:lang w:bidi="hi-IN"/>
              </w:rPr>
              <w:t>untenable .Since</w:t>
            </w:r>
            <w:proofErr w:type="gramEnd"/>
            <w:r>
              <w:rPr>
                <w:rFonts w:ascii="Times New Roman" w:eastAsiaTheme="minorHAnsi" w:hAnsi="Times New Roman"/>
                <w:color w:val="000000"/>
                <w:sz w:val="23"/>
                <w:szCs w:val="23"/>
                <w:lang w:bidi="hi-IN"/>
              </w:rPr>
              <w:t xml:space="preserve"> Run of the river hydro power plant </w:t>
            </w:r>
            <w:proofErr w:type="spellStart"/>
            <w:r>
              <w:rPr>
                <w:rFonts w:ascii="Times New Roman" w:eastAsiaTheme="minorHAnsi" w:hAnsi="Times New Roman"/>
                <w:color w:val="000000"/>
                <w:sz w:val="23"/>
                <w:szCs w:val="23"/>
                <w:lang w:bidi="hi-IN"/>
              </w:rPr>
              <w:t>can not</w:t>
            </w:r>
            <w:proofErr w:type="spellEnd"/>
            <w:r>
              <w:rPr>
                <w:rFonts w:ascii="Times New Roman" w:eastAsiaTheme="minorHAnsi" w:hAnsi="Times New Roman"/>
                <w:color w:val="000000"/>
                <w:sz w:val="23"/>
                <w:szCs w:val="23"/>
                <w:lang w:bidi="hi-IN"/>
              </w:rPr>
              <w:t xml:space="preserve"> increase its generation during peak hours.</w:t>
            </w:r>
          </w:p>
          <w:p w14:paraId="524CF5F2" w14:textId="77777777" w:rsidR="00F17BFD" w:rsidRDefault="00F17BFD" w:rsidP="00F17BFD">
            <w:pPr>
              <w:ind w:left="137" w:right="61"/>
              <w:contextualSpacing/>
              <w:jc w:val="both"/>
              <w:rPr>
                <w:rFonts w:ascii="Times New Roman" w:eastAsiaTheme="minorHAnsi" w:hAnsi="Times New Roman"/>
                <w:color w:val="000000"/>
                <w:sz w:val="23"/>
                <w:szCs w:val="23"/>
                <w:lang w:bidi="hi-IN"/>
              </w:rPr>
            </w:pPr>
          </w:p>
          <w:p w14:paraId="07B32D4F" w14:textId="4AE08A58" w:rsidR="00F17BFD" w:rsidRPr="003F383B" w:rsidRDefault="00F17BFD" w:rsidP="00F17BFD">
            <w:pPr>
              <w:contextualSpacing/>
              <w:jc w:val="both"/>
              <w:rPr>
                <w:rFonts w:ascii="Bookman Old Style" w:hAnsi="Bookman Old Style"/>
                <w:w w:val="110"/>
                <w:sz w:val="20"/>
                <w:szCs w:val="20"/>
              </w:rPr>
            </w:pPr>
            <w:r>
              <w:rPr>
                <w:rFonts w:ascii="Times New Roman" w:eastAsiaTheme="minorHAnsi" w:hAnsi="Times New Roman"/>
                <w:color w:val="000000"/>
                <w:sz w:val="23"/>
                <w:szCs w:val="23"/>
                <w:lang w:bidi="hi-IN"/>
              </w:rPr>
              <w:t xml:space="preserve">Further, Hydro power plants </w:t>
            </w:r>
            <w:r w:rsidR="00930BAF">
              <w:rPr>
                <w:rFonts w:ascii="Times New Roman" w:eastAsiaTheme="minorHAnsi" w:hAnsi="Times New Roman"/>
                <w:color w:val="000000"/>
                <w:sz w:val="23"/>
                <w:szCs w:val="23"/>
                <w:lang w:bidi="hi-IN"/>
              </w:rPr>
              <w:t>with storage</w:t>
            </w:r>
            <w:r>
              <w:rPr>
                <w:rFonts w:ascii="Times New Roman" w:eastAsiaTheme="minorHAnsi" w:hAnsi="Times New Roman"/>
                <w:color w:val="000000"/>
                <w:sz w:val="23"/>
                <w:szCs w:val="23"/>
                <w:lang w:bidi="hi-IN"/>
              </w:rPr>
              <w:t xml:space="preserve"> of </w:t>
            </w:r>
            <w:proofErr w:type="gramStart"/>
            <w:r>
              <w:rPr>
                <w:rFonts w:ascii="Times New Roman" w:eastAsiaTheme="minorHAnsi" w:hAnsi="Times New Roman"/>
                <w:color w:val="000000"/>
                <w:sz w:val="23"/>
                <w:szCs w:val="23"/>
                <w:lang w:bidi="hi-IN"/>
              </w:rPr>
              <w:t>one or two hour</w:t>
            </w:r>
            <w:proofErr w:type="gramEnd"/>
            <w:r>
              <w:rPr>
                <w:rFonts w:ascii="Times New Roman" w:eastAsiaTheme="minorHAnsi" w:hAnsi="Times New Roman"/>
                <w:color w:val="000000"/>
                <w:sz w:val="23"/>
                <w:szCs w:val="23"/>
                <w:lang w:bidi="hi-IN"/>
              </w:rPr>
              <w:t xml:space="preserve"> generation capacity will try to take undue advantage under this provision.</w:t>
            </w:r>
          </w:p>
        </w:tc>
      </w:tr>
    </w:tbl>
    <w:p w14:paraId="5DC3879F" w14:textId="7CD74965" w:rsidR="00116FAA" w:rsidRDefault="00116FAA"/>
    <w:p w14:paraId="1DD4173D" w14:textId="18EB5B68" w:rsidR="00ED0387" w:rsidRDefault="00ED0387">
      <w:pPr>
        <w:rPr>
          <w:rFonts w:ascii="Bookman Old Style" w:hAnsi="Bookman Old Style"/>
          <w:sz w:val="20"/>
          <w:szCs w:val="20"/>
        </w:rPr>
      </w:pPr>
      <w:r w:rsidRPr="00ED0387">
        <w:rPr>
          <w:rFonts w:ascii="Bookman Old Style" w:hAnsi="Bookman Old Style"/>
          <w:sz w:val="20"/>
          <w:szCs w:val="20"/>
        </w:rPr>
        <w:t xml:space="preserve"> </w:t>
      </w:r>
      <w:r w:rsidR="00E37262">
        <w:rPr>
          <w:rFonts w:ascii="Bookman Old Style" w:hAnsi="Bookman Old Style"/>
          <w:sz w:val="20"/>
          <w:szCs w:val="20"/>
        </w:rPr>
        <w:br/>
      </w:r>
    </w:p>
    <w:sectPr w:rsidR="00ED0387" w:rsidSect="003F383B">
      <w:pgSz w:w="20160" w:h="12240" w:orient="landscape" w:code="5"/>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IDFont+F2">
    <w:altName w:val="MS Mincho"/>
    <w:panose1 w:val="00000000000000000000"/>
    <w:charset w:val="80"/>
    <w:family w:val="auto"/>
    <w:notTrueType/>
    <w:pitch w:val="default"/>
    <w:sig w:usb0="00000001" w:usb1="08070000" w:usb2="00000010" w:usb3="00000000" w:csb0="00020000" w:csb1="00000000"/>
  </w:font>
  <w:font w:name="BookAntiqua">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3ABC411"/>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C0C6C6E"/>
    <w:multiLevelType w:val="hybridMultilevel"/>
    <w:tmpl w:val="DB84006E"/>
    <w:lvl w:ilvl="0" w:tplc="B8E82222">
      <w:start w:val="1"/>
      <w:numFmt w:val="decimal"/>
      <w:lvlText w:val="%1."/>
      <w:lvlJc w:val="left"/>
      <w:pPr>
        <w:ind w:left="1070" w:hanging="360"/>
      </w:pPr>
      <w:rPr>
        <w:rFonts w:hint="default"/>
        <w:i/>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15:restartNumberingAfterBreak="0">
    <w:nsid w:val="3F7BBE5D"/>
    <w:multiLevelType w:val="hybridMultilevel"/>
    <w:tmpl w:val="FFFFFFFF"/>
    <w:lvl w:ilvl="0" w:tplc="FFFFFFFF">
      <w:start w:val="1"/>
      <w:numFmt w:val="lowerLetter"/>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773205929">
    <w:abstractNumId w:val="2"/>
  </w:num>
  <w:num w:numId="2" w16cid:durableId="1233275922">
    <w:abstractNumId w:val="1"/>
  </w:num>
  <w:num w:numId="3" w16cid:durableId="19683874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FD"/>
    <w:rsid w:val="000138C7"/>
    <w:rsid w:val="00031261"/>
    <w:rsid w:val="00042631"/>
    <w:rsid w:val="00112F5A"/>
    <w:rsid w:val="00116FAA"/>
    <w:rsid w:val="00171542"/>
    <w:rsid w:val="0033258E"/>
    <w:rsid w:val="00361CFD"/>
    <w:rsid w:val="003F383B"/>
    <w:rsid w:val="00576017"/>
    <w:rsid w:val="005E6838"/>
    <w:rsid w:val="005F240E"/>
    <w:rsid w:val="0061000A"/>
    <w:rsid w:val="006C167F"/>
    <w:rsid w:val="006F061F"/>
    <w:rsid w:val="006F46E5"/>
    <w:rsid w:val="00701020"/>
    <w:rsid w:val="00707543"/>
    <w:rsid w:val="00820A60"/>
    <w:rsid w:val="00835AF1"/>
    <w:rsid w:val="008708D7"/>
    <w:rsid w:val="00897CA8"/>
    <w:rsid w:val="008D208D"/>
    <w:rsid w:val="00930BAF"/>
    <w:rsid w:val="00A35602"/>
    <w:rsid w:val="00C12919"/>
    <w:rsid w:val="00C43CBB"/>
    <w:rsid w:val="00D2408B"/>
    <w:rsid w:val="00D3122F"/>
    <w:rsid w:val="00D81A81"/>
    <w:rsid w:val="00D9766F"/>
    <w:rsid w:val="00E37262"/>
    <w:rsid w:val="00ED0387"/>
    <w:rsid w:val="00F17BFD"/>
    <w:rsid w:val="00F66951"/>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CE8FC"/>
  <w15:chartTrackingRefBased/>
  <w15:docId w15:val="{998D96CC-C56B-423B-9ECB-7732675A3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0A60"/>
    <w:rPr>
      <w:rFonts w:eastAsia="Times New Roman" w:cs="Times New Roman"/>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20A60"/>
    <w:pPr>
      <w:widowControl w:val="0"/>
      <w:autoSpaceDE w:val="0"/>
      <w:autoSpaceDN w:val="0"/>
      <w:spacing w:after="0" w:line="240" w:lineRule="auto"/>
    </w:pPr>
    <w:rPr>
      <w:szCs w:val="22"/>
      <w:lang w:val="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20A60"/>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aliases w:val="numbered,Bullet List,FooterText,List Paragraph1,Paragraphe de liste1,Bulletr List Paragraph,列出段落,列出段落1,List Paragraph2,List Paragraph21,Párrafo de lista1,Parágrafo da Lista1,リスト段落1,Listeafsnit1,Bullet list,List Paragraph11,Listenabsatz1"/>
    <w:basedOn w:val="Normal"/>
    <w:link w:val="ListParagraphChar"/>
    <w:uiPriority w:val="34"/>
    <w:qFormat/>
    <w:rsid w:val="00701020"/>
    <w:pPr>
      <w:spacing w:after="200" w:line="276" w:lineRule="auto"/>
      <w:ind w:left="720"/>
      <w:contextualSpacing/>
    </w:pPr>
    <w:rPr>
      <w:rFonts w:ascii="Calibri" w:hAnsi="Calibri" w:cs="Mangal"/>
      <w:sz w:val="24"/>
      <w:szCs w:val="20"/>
      <w:lang w:eastAsia="en-IN" w:bidi="hi-IN"/>
    </w:rPr>
  </w:style>
  <w:style w:type="character" w:customStyle="1" w:styleId="ListParagraphChar">
    <w:name w:val="List Paragraph Char"/>
    <w:aliases w:val="numbered Char,Bullet List Char,FooterText Char,List Paragraph1 Char,Paragraphe de liste1 Char,Bulletr List Paragraph Char,列出段落 Char,列出段落1 Char,List Paragraph2 Char,List Paragraph21 Char,Párrafo de lista1 Char,Parágrafo da Lista1 Char"/>
    <w:link w:val="ListParagraph"/>
    <w:uiPriority w:val="34"/>
    <w:qFormat/>
    <w:locked/>
    <w:rsid w:val="00701020"/>
    <w:rPr>
      <w:rFonts w:ascii="Calibri" w:eastAsia="Times New Roman" w:hAnsi="Calibri" w:cs="Mangal"/>
      <w:sz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8FBF60-2EDB-4068-AE8E-9EE892710E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6</Pages>
  <Words>1899</Words>
  <Characters>10828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 Hppc</dc:creator>
  <cp:keywords/>
  <dc:description/>
  <cp:lastModifiedBy>Ce Hppc</cp:lastModifiedBy>
  <cp:revision>26</cp:revision>
  <cp:lastPrinted>2024-02-16T08:25:00Z</cp:lastPrinted>
  <dcterms:created xsi:type="dcterms:W3CDTF">2024-02-15T06:01:00Z</dcterms:created>
  <dcterms:modified xsi:type="dcterms:W3CDTF">2024-02-26T06:14:00Z</dcterms:modified>
</cp:coreProperties>
</file>